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5" w:type="dxa"/>
        <w:jc w:val="center"/>
        <w:tblLayout w:type="fixed"/>
        <w:tblLook w:val="04A0" w:firstRow="1" w:lastRow="0" w:firstColumn="1" w:lastColumn="0" w:noHBand="0" w:noVBand="1"/>
      </w:tblPr>
      <w:tblGrid>
        <w:gridCol w:w="5387"/>
        <w:gridCol w:w="4218"/>
      </w:tblGrid>
      <w:tr w:rsidR="002977E8" w14:paraId="1205DAEF" w14:textId="77777777">
        <w:trPr>
          <w:trHeight w:val="284"/>
          <w:jc w:val="center"/>
        </w:trPr>
        <w:tc>
          <w:tcPr>
            <w:tcW w:w="5387" w:type="dxa"/>
          </w:tcPr>
          <w:p w14:paraId="0B3DC5C8" w14:textId="77777777" w:rsidR="002977E8" w:rsidRDefault="00000000">
            <w:pPr>
              <w:widowControl w:val="0"/>
              <w:spacing w:after="0"/>
              <w:ind w:right="1163"/>
            </w:pPr>
            <w:r>
              <w:rPr>
                <w:noProof/>
              </w:rPr>
              <w:drawing>
                <wp:inline distT="0" distB="0" distL="0" distR="0" wp14:anchorId="030F4ED4" wp14:editId="7D4FD36F">
                  <wp:extent cx="457200" cy="457200"/>
                  <wp:effectExtent l="0" t="0" r="0" b="0"/>
                  <wp:docPr id="1" name="Εικόνα2" descr="125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2" descr="125px-Coat_of_arms_of_Greece"/>
                          <pic:cNvPicPr>
                            <a:picLocks noChangeAspect="1" noChangeArrowheads="1"/>
                          </pic:cNvPicPr>
                        </pic:nvPicPr>
                        <pic:blipFill>
                          <a:blip r:embed="rId5"/>
                          <a:stretch>
                            <a:fillRect/>
                          </a:stretch>
                        </pic:blipFill>
                        <pic:spPr bwMode="auto">
                          <a:xfrm>
                            <a:off x="0" y="0"/>
                            <a:ext cx="457200" cy="457200"/>
                          </a:xfrm>
                          <a:prstGeom prst="rect">
                            <a:avLst/>
                          </a:prstGeom>
                        </pic:spPr>
                      </pic:pic>
                    </a:graphicData>
                  </a:graphic>
                </wp:inline>
              </w:drawing>
            </w:r>
          </w:p>
          <w:p w14:paraId="5BD93E41" w14:textId="77777777" w:rsidR="002977E8" w:rsidRDefault="00000000">
            <w:pPr>
              <w:widowControl w:val="0"/>
              <w:spacing w:after="0"/>
              <w:ind w:right="1163"/>
              <w:rPr>
                <w:b/>
                <w:bCs/>
              </w:rPr>
            </w:pPr>
            <w:r>
              <w:rPr>
                <w:b/>
                <w:bCs/>
              </w:rPr>
              <w:t>ΕΛΛΗΝΙΚΗ ΔΗΜΟΚΡΑΤΙΑ</w:t>
            </w:r>
          </w:p>
        </w:tc>
        <w:tc>
          <w:tcPr>
            <w:tcW w:w="4218" w:type="dxa"/>
          </w:tcPr>
          <w:p w14:paraId="38363116" w14:textId="77777777" w:rsidR="002977E8" w:rsidRDefault="002977E8">
            <w:pPr>
              <w:widowControl w:val="0"/>
              <w:spacing w:after="0"/>
            </w:pPr>
          </w:p>
        </w:tc>
      </w:tr>
      <w:tr w:rsidR="002977E8" w14:paraId="5B787114" w14:textId="77777777">
        <w:trPr>
          <w:trHeight w:val="284"/>
          <w:jc w:val="center"/>
        </w:trPr>
        <w:tc>
          <w:tcPr>
            <w:tcW w:w="5387" w:type="dxa"/>
          </w:tcPr>
          <w:p w14:paraId="05ACB04F" w14:textId="77777777" w:rsidR="002977E8" w:rsidRDefault="00000000">
            <w:pPr>
              <w:widowControl w:val="0"/>
              <w:spacing w:after="0"/>
              <w:ind w:right="1163"/>
              <w:rPr>
                <w:b/>
                <w:bCs/>
              </w:rPr>
            </w:pPr>
            <w:r>
              <w:rPr>
                <w:b/>
                <w:bCs/>
              </w:rPr>
              <w:t>ΝΟΜΟΣ ΘΕΣΣΑΛΟΝΙΚΗΣ</w:t>
            </w:r>
          </w:p>
        </w:tc>
        <w:tc>
          <w:tcPr>
            <w:tcW w:w="4218" w:type="dxa"/>
          </w:tcPr>
          <w:p w14:paraId="4CF483FD" w14:textId="77777777" w:rsidR="002977E8" w:rsidRDefault="00000000">
            <w:pPr>
              <w:widowControl w:val="0"/>
              <w:spacing w:after="0"/>
              <w:rPr>
                <w:b/>
                <w:bCs/>
              </w:rPr>
            </w:pPr>
            <w:proofErr w:type="spellStart"/>
            <w:r>
              <w:rPr>
                <w:b/>
                <w:bCs/>
              </w:rPr>
              <w:t>Αρ</w:t>
            </w:r>
            <w:proofErr w:type="spellEnd"/>
            <w:r>
              <w:rPr>
                <w:b/>
                <w:bCs/>
              </w:rPr>
              <w:t>. Μελέτης: 29/2022</w:t>
            </w:r>
          </w:p>
        </w:tc>
      </w:tr>
      <w:tr w:rsidR="002977E8" w14:paraId="29545969" w14:textId="77777777">
        <w:trPr>
          <w:trHeight w:val="287"/>
          <w:jc w:val="center"/>
        </w:trPr>
        <w:tc>
          <w:tcPr>
            <w:tcW w:w="5387" w:type="dxa"/>
          </w:tcPr>
          <w:p w14:paraId="3696E2E2" w14:textId="77777777" w:rsidR="002977E8" w:rsidRDefault="00000000">
            <w:pPr>
              <w:widowControl w:val="0"/>
              <w:spacing w:after="0"/>
              <w:ind w:right="1163"/>
              <w:rPr>
                <w:b/>
                <w:bCs/>
              </w:rPr>
            </w:pPr>
            <w:r>
              <w:rPr>
                <w:b/>
                <w:bCs/>
              </w:rPr>
              <w:t>ΔΗΜΟΣ ΘΕΣΣΑΛΟΝΙΚΗΣ</w:t>
            </w:r>
          </w:p>
        </w:tc>
        <w:tc>
          <w:tcPr>
            <w:tcW w:w="4218" w:type="dxa"/>
            <w:vMerge w:val="restart"/>
          </w:tcPr>
          <w:p w14:paraId="558AD10A" w14:textId="77777777" w:rsidR="002977E8" w:rsidRDefault="00000000">
            <w:pPr>
              <w:widowControl w:val="0"/>
              <w:spacing w:after="0"/>
            </w:pPr>
            <w:r>
              <w:t xml:space="preserve">«Προμήθεια και εγκατάσταση </w:t>
            </w:r>
            <w:proofErr w:type="spellStart"/>
            <w:r>
              <w:t>πολυκέντρων</w:t>
            </w:r>
            <w:proofErr w:type="spellEnd"/>
            <w:r>
              <w:t xml:space="preserve"> ανακύκλωσης στα πλαίσια του προγράμματος Τρίτσης ΑΤ04»</w:t>
            </w:r>
          </w:p>
          <w:p w14:paraId="49825DC6" w14:textId="77777777" w:rsidR="002977E8" w:rsidRDefault="00000000">
            <w:pPr>
              <w:widowControl w:val="0"/>
              <w:spacing w:after="0"/>
            </w:pPr>
            <w:r>
              <w:t xml:space="preserve">π.δ. : </w:t>
            </w:r>
            <w:r>
              <w:rPr>
                <w:rFonts w:cs="Calibri"/>
                <w:szCs w:val="22"/>
              </w:rPr>
              <w:t>17.856.000,00</w:t>
            </w:r>
            <w:r>
              <w:rPr>
                <w:rFonts w:cs="Calibri"/>
              </w:rPr>
              <w:t xml:space="preserve"> € </w:t>
            </w:r>
            <w:r>
              <w:t xml:space="preserve"> με τον ΦΠΑ 24%</w:t>
            </w:r>
          </w:p>
        </w:tc>
      </w:tr>
      <w:tr w:rsidR="002977E8" w14:paraId="7F102A3D" w14:textId="77777777">
        <w:trPr>
          <w:cantSplit/>
          <w:trHeight w:val="278"/>
          <w:jc w:val="center"/>
        </w:trPr>
        <w:tc>
          <w:tcPr>
            <w:tcW w:w="5387" w:type="dxa"/>
          </w:tcPr>
          <w:p w14:paraId="23F6DAE0" w14:textId="77777777" w:rsidR="002977E8" w:rsidRDefault="00000000">
            <w:pPr>
              <w:widowControl w:val="0"/>
              <w:spacing w:after="0"/>
              <w:ind w:right="1163"/>
              <w:rPr>
                <w:b/>
                <w:bCs/>
              </w:rPr>
            </w:pPr>
            <w:r>
              <w:rPr>
                <w:b/>
                <w:bCs/>
              </w:rPr>
              <w:t>ΓΕΝΙΚΗ ΔΙΕΥΘΥΝΣΗ</w:t>
            </w:r>
          </w:p>
        </w:tc>
        <w:tc>
          <w:tcPr>
            <w:tcW w:w="4218" w:type="dxa"/>
            <w:vMerge/>
          </w:tcPr>
          <w:p w14:paraId="50379306" w14:textId="77777777" w:rsidR="002977E8" w:rsidRDefault="002977E8"/>
        </w:tc>
      </w:tr>
      <w:tr w:rsidR="002977E8" w14:paraId="62ED3F49" w14:textId="77777777">
        <w:trPr>
          <w:cantSplit/>
          <w:trHeight w:val="278"/>
          <w:jc w:val="center"/>
        </w:trPr>
        <w:tc>
          <w:tcPr>
            <w:tcW w:w="5387" w:type="dxa"/>
          </w:tcPr>
          <w:p w14:paraId="2A3156EE" w14:textId="77777777" w:rsidR="002977E8" w:rsidRDefault="00000000">
            <w:pPr>
              <w:widowControl w:val="0"/>
              <w:spacing w:after="0"/>
              <w:ind w:right="1163"/>
              <w:rPr>
                <w:b/>
                <w:bCs/>
              </w:rPr>
            </w:pPr>
            <w:r>
              <w:rPr>
                <w:b/>
                <w:bCs/>
              </w:rPr>
              <w:t>Δ/ΝΣΗ ΑΝΑΚΥΚΛΩΣΗΣ ΚΑΙ ΑΝΑΠΤΥΞΗΣ ΣΥΣΤΗΜΑΤΩΝ ΚΥΚΛΙΚΗΣ ΟΙΚΟΝΟΜΙΑΣ</w:t>
            </w:r>
          </w:p>
        </w:tc>
        <w:tc>
          <w:tcPr>
            <w:tcW w:w="4218" w:type="dxa"/>
            <w:vMerge/>
          </w:tcPr>
          <w:p w14:paraId="41E0AA2C" w14:textId="77777777" w:rsidR="002977E8" w:rsidRDefault="002977E8"/>
        </w:tc>
      </w:tr>
      <w:tr w:rsidR="002977E8" w14:paraId="28D105BF" w14:textId="77777777">
        <w:trPr>
          <w:cantSplit/>
          <w:trHeight w:val="281"/>
          <w:jc w:val="center"/>
        </w:trPr>
        <w:tc>
          <w:tcPr>
            <w:tcW w:w="5387" w:type="dxa"/>
          </w:tcPr>
          <w:p w14:paraId="42A1C38A" w14:textId="77777777" w:rsidR="002977E8" w:rsidRDefault="00000000">
            <w:pPr>
              <w:widowControl w:val="0"/>
              <w:spacing w:after="0"/>
              <w:ind w:right="1163"/>
              <w:rPr>
                <w:b/>
                <w:bCs/>
              </w:rPr>
            </w:pPr>
            <w:r>
              <w:rPr>
                <w:b/>
                <w:bCs/>
              </w:rPr>
              <w:t>ΤΜΗΜΑ ΜΕΛΕΤΩΝ</w:t>
            </w:r>
          </w:p>
        </w:tc>
        <w:tc>
          <w:tcPr>
            <w:tcW w:w="4218" w:type="dxa"/>
            <w:vMerge/>
          </w:tcPr>
          <w:p w14:paraId="52D74DD0" w14:textId="77777777" w:rsidR="002977E8" w:rsidRDefault="002977E8"/>
        </w:tc>
      </w:tr>
      <w:tr w:rsidR="002977E8" w14:paraId="3B44C3D2" w14:textId="77777777">
        <w:trPr>
          <w:cantSplit/>
          <w:trHeight w:val="272"/>
          <w:jc w:val="center"/>
        </w:trPr>
        <w:tc>
          <w:tcPr>
            <w:tcW w:w="5387" w:type="dxa"/>
          </w:tcPr>
          <w:p w14:paraId="75D63A6A" w14:textId="77777777" w:rsidR="002977E8" w:rsidRDefault="00000000">
            <w:pPr>
              <w:widowControl w:val="0"/>
              <w:spacing w:after="0"/>
            </w:pPr>
            <w:r>
              <w:t xml:space="preserve">Πληροφορίες: Κ. </w:t>
            </w:r>
            <w:proofErr w:type="spellStart"/>
            <w:r>
              <w:t>Μηνάδης</w:t>
            </w:r>
            <w:proofErr w:type="spellEnd"/>
          </w:p>
          <w:p w14:paraId="368BE008" w14:textId="77777777" w:rsidR="002977E8" w:rsidRDefault="00000000">
            <w:pPr>
              <w:widowControl w:val="0"/>
              <w:spacing w:after="0"/>
            </w:pPr>
            <w:proofErr w:type="spellStart"/>
            <w:r>
              <w:t>Τηλ</w:t>
            </w:r>
            <w:proofErr w:type="spellEnd"/>
            <w:r>
              <w:t>: 2313318862</w:t>
            </w:r>
          </w:p>
        </w:tc>
        <w:tc>
          <w:tcPr>
            <w:tcW w:w="4218" w:type="dxa"/>
            <w:vMerge/>
          </w:tcPr>
          <w:p w14:paraId="2F1E5F8F" w14:textId="77777777" w:rsidR="002977E8" w:rsidRDefault="002977E8"/>
        </w:tc>
      </w:tr>
      <w:tr w:rsidR="002977E8" w:rsidRPr="006D05AF" w14:paraId="6B7A33FF" w14:textId="77777777">
        <w:trPr>
          <w:cantSplit/>
          <w:trHeight w:val="275"/>
          <w:jc w:val="center"/>
        </w:trPr>
        <w:tc>
          <w:tcPr>
            <w:tcW w:w="5387" w:type="dxa"/>
          </w:tcPr>
          <w:p w14:paraId="58192515" w14:textId="77777777" w:rsidR="002977E8" w:rsidRPr="006D05AF" w:rsidRDefault="00000000">
            <w:pPr>
              <w:widowControl w:val="0"/>
              <w:spacing w:after="0"/>
              <w:rPr>
                <w:lang w:val="en-US"/>
              </w:rPr>
            </w:pPr>
            <w:r>
              <w:rPr>
                <w:lang w:val="en-US"/>
              </w:rPr>
              <w:t xml:space="preserve">e-mail: </w:t>
            </w:r>
            <w:hyperlink r:id="rId6">
              <w:r>
                <w:rPr>
                  <w:lang w:val="en-US"/>
                </w:rPr>
                <w:t>k.minadis@thessaloniki.gr</w:t>
              </w:r>
            </w:hyperlink>
          </w:p>
          <w:p w14:paraId="57B06FA5" w14:textId="77777777" w:rsidR="002977E8" w:rsidRDefault="002977E8">
            <w:pPr>
              <w:widowControl w:val="0"/>
              <w:spacing w:after="0"/>
              <w:rPr>
                <w:rStyle w:val="a6"/>
                <w:lang w:val="en-US"/>
              </w:rPr>
            </w:pPr>
          </w:p>
          <w:p w14:paraId="26B7DEB1" w14:textId="77777777" w:rsidR="002977E8" w:rsidRDefault="002977E8">
            <w:pPr>
              <w:widowControl w:val="0"/>
              <w:spacing w:after="0"/>
              <w:rPr>
                <w:rStyle w:val="a6"/>
                <w:lang w:val="en-US"/>
              </w:rPr>
            </w:pPr>
          </w:p>
          <w:p w14:paraId="76E6E64B" w14:textId="77777777" w:rsidR="002977E8" w:rsidRDefault="002977E8">
            <w:pPr>
              <w:widowControl w:val="0"/>
              <w:spacing w:after="0"/>
              <w:rPr>
                <w:rStyle w:val="a6"/>
                <w:lang w:val="en-US"/>
              </w:rPr>
            </w:pPr>
          </w:p>
          <w:p w14:paraId="131DBBB7" w14:textId="77777777" w:rsidR="002977E8" w:rsidRDefault="002977E8">
            <w:pPr>
              <w:widowControl w:val="0"/>
              <w:spacing w:after="0"/>
              <w:rPr>
                <w:lang w:val="en-US"/>
              </w:rPr>
            </w:pPr>
          </w:p>
        </w:tc>
        <w:tc>
          <w:tcPr>
            <w:tcW w:w="4218" w:type="dxa"/>
            <w:vMerge/>
          </w:tcPr>
          <w:p w14:paraId="76B727AE" w14:textId="77777777" w:rsidR="002977E8" w:rsidRPr="006D05AF" w:rsidRDefault="002977E8">
            <w:pPr>
              <w:rPr>
                <w:lang w:val="en-US"/>
              </w:rPr>
            </w:pPr>
          </w:p>
        </w:tc>
      </w:tr>
    </w:tbl>
    <w:p w14:paraId="4A29AC28" w14:textId="77777777" w:rsidR="002977E8" w:rsidRDefault="002977E8">
      <w:pPr>
        <w:spacing w:after="0"/>
        <w:jc w:val="center"/>
        <w:rPr>
          <w:lang w:val="en-US"/>
        </w:rPr>
      </w:pPr>
    </w:p>
    <w:p w14:paraId="3BBE5160" w14:textId="77777777" w:rsidR="002977E8" w:rsidRDefault="00000000">
      <w:pPr>
        <w:spacing w:after="0"/>
        <w:jc w:val="center"/>
        <w:rPr>
          <w:b/>
          <w:sz w:val="28"/>
        </w:rPr>
      </w:pPr>
      <w:r>
        <w:rPr>
          <w:b/>
          <w:sz w:val="28"/>
        </w:rPr>
        <w:t>ΠΑΡΑΡΤΗΜΑ ΙΙΙ – ΦΥΛΛΟ ΣΥΜΜΟΡΦΩΣΗΣ</w:t>
      </w:r>
    </w:p>
    <w:p w14:paraId="0F44975C" w14:textId="4FA2B071" w:rsidR="002977E8" w:rsidRDefault="002977E8">
      <w:pPr>
        <w:spacing w:after="0"/>
        <w:jc w:val="center"/>
      </w:pPr>
    </w:p>
    <w:p w14:paraId="2F57B1A0" w14:textId="5246010B" w:rsidR="006D05AF" w:rsidRDefault="006D05AF">
      <w:pPr>
        <w:spacing w:after="0"/>
        <w:jc w:val="center"/>
      </w:pPr>
    </w:p>
    <w:p w14:paraId="62A2EC7E" w14:textId="77777777" w:rsidR="006D05AF" w:rsidRDefault="006D05AF">
      <w:pPr>
        <w:spacing w:after="0"/>
        <w:jc w:val="center"/>
      </w:pPr>
    </w:p>
    <w:tbl>
      <w:tblPr>
        <w:tblW w:w="10632" w:type="dxa"/>
        <w:tblInd w:w="-5" w:type="dxa"/>
        <w:shd w:val="clear" w:color="auto" w:fill="FFFFCC"/>
        <w:tblLayout w:type="fixed"/>
        <w:tblLook w:val="04A0" w:firstRow="1" w:lastRow="0" w:firstColumn="1" w:lastColumn="0" w:noHBand="0" w:noVBand="1"/>
      </w:tblPr>
      <w:tblGrid>
        <w:gridCol w:w="850"/>
        <w:gridCol w:w="4814"/>
        <w:gridCol w:w="993"/>
        <w:gridCol w:w="1848"/>
        <w:gridCol w:w="2127"/>
      </w:tblGrid>
      <w:tr w:rsidR="002977E8" w14:paraId="28A36547" w14:textId="77777777">
        <w:trPr>
          <w:tblHeader/>
        </w:trPr>
        <w:tc>
          <w:tcPr>
            <w:tcW w:w="85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556F62D6" w14:textId="77777777" w:rsidR="002977E8" w:rsidRDefault="00000000">
            <w:pPr>
              <w:spacing w:after="0"/>
              <w:jc w:val="center"/>
              <w:rPr>
                <w:b/>
                <w:bCs/>
                <w:i/>
                <w:iCs/>
                <w:color w:val="FFFFFF"/>
              </w:rPr>
            </w:pPr>
            <w:r>
              <w:rPr>
                <w:b/>
                <w:bCs/>
                <w:i/>
                <w:iCs/>
                <w:color w:val="FFFFFF"/>
              </w:rPr>
              <w:t>Α/Α</w:t>
            </w:r>
          </w:p>
        </w:tc>
        <w:tc>
          <w:tcPr>
            <w:tcW w:w="4814"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2D2F9159" w14:textId="77777777" w:rsidR="002977E8" w:rsidRDefault="00000000">
            <w:pPr>
              <w:spacing w:after="0"/>
              <w:jc w:val="center"/>
              <w:rPr>
                <w:b/>
                <w:bCs/>
                <w:i/>
                <w:iCs/>
                <w:color w:val="FFFFFF"/>
              </w:rPr>
            </w:pPr>
            <w:r>
              <w:rPr>
                <w:b/>
                <w:bCs/>
                <w:i/>
                <w:iCs/>
                <w:color w:val="FFFFFF"/>
              </w:rPr>
              <w:t>ΠΕΡΙΓΡΑΦΗ</w:t>
            </w:r>
          </w:p>
        </w:tc>
        <w:tc>
          <w:tcPr>
            <w:tcW w:w="993"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14E7C280" w14:textId="77777777" w:rsidR="002977E8" w:rsidRDefault="00000000">
            <w:pPr>
              <w:spacing w:after="0"/>
              <w:jc w:val="center"/>
              <w:rPr>
                <w:b/>
                <w:bCs/>
                <w:i/>
                <w:iCs/>
                <w:color w:val="FFFFFF"/>
              </w:rPr>
            </w:pPr>
            <w:r>
              <w:rPr>
                <w:b/>
                <w:bCs/>
                <w:i/>
                <w:iCs/>
                <w:color w:val="FFFFFF"/>
              </w:rPr>
              <w:t>ΑΠΑΙΤΗΣΗ</w:t>
            </w:r>
          </w:p>
        </w:tc>
        <w:tc>
          <w:tcPr>
            <w:tcW w:w="1848"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1A1D60B3" w14:textId="77777777" w:rsidR="002977E8" w:rsidRDefault="00000000">
            <w:pPr>
              <w:spacing w:after="0"/>
              <w:jc w:val="center"/>
              <w:rPr>
                <w:b/>
                <w:bCs/>
                <w:i/>
                <w:iCs/>
                <w:color w:val="FFFFFF"/>
              </w:rPr>
            </w:pPr>
            <w:r>
              <w:rPr>
                <w:b/>
                <w:bCs/>
                <w:i/>
                <w:iCs/>
                <w:color w:val="FFFFFF"/>
              </w:rPr>
              <w:t>ΑΠΑΝΤΗΣΗ</w:t>
            </w:r>
          </w:p>
        </w:tc>
        <w:tc>
          <w:tcPr>
            <w:tcW w:w="2127"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74136F57" w14:textId="77777777" w:rsidR="002977E8" w:rsidRDefault="00000000">
            <w:pPr>
              <w:spacing w:after="0"/>
              <w:jc w:val="center"/>
              <w:rPr>
                <w:b/>
                <w:bCs/>
                <w:i/>
                <w:iCs/>
                <w:color w:val="FFFFFF"/>
              </w:rPr>
            </w:pPr>
            <w:r>
              <w:rPr>
                <w:b/>
                <w:bCs/>
                <w:i/>
                <w:iCs/>
                <w:color w:val="FFFFFF"/>
              </w:rPr>
              <w:t>Παραπομπή στα δικαιολογητικά που κατατέθηκαν (</w:t>
            </w:r>
            <w:proofErr w:type="spellStart"/>
            <w:r>
              <w:rPr>
                <w:b/>
                <w:bCs/>
                <w:i/>
                <w:iCs/>
                <w:color w:val="FFFFFF"/>
              </w:rPr>
              <w:t>ιδέ</w:t>
            </w:r>
            <w:proofErr w:type="spellEnd"/>
            <w:r>
              <w:rPr>
                <w:b/>
                <w:bCs/>
                <w:i/>
                <w:iCs/>
                <w:color w:val="FFFFFF"/>
              </w:rPr>
              <w:t xml:space="preserve"> </w:t>
            </w:r>
            <w:proofErr w:type="spellStart"/>
            <w:r>
              <w:rPr>
                <w:b/>
                <w:bCs/>
                <w:i/>
                <w:iCs/>
                <w:color w:val="FFFFFF"/>
              </w:rPr>
              <w:t>ενοτ</w:t>
            </w:r>
            <w:proofErr w:type="spellEnd"/>
            <w:r>
              <w:rPr>
                <w:b/>
                <w:bCs/>
                <w:i/>
                <w:iCs/>
                <w:color w:val="FFFFFF"/>
              </w:rPr>
              <w:t>. 3-7)</w:t>
            </w:r>
          </w:p>
        </w:tc>
      </w:tr>
      <w:tr w:rsidR="002977E8" w14:paraId="0827CF7A"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F711442" w14:textId="77777777" w:rsidR="002977E8" w:rsidRDefault="00000000">
            <w:pPr>
              <w:spacing w:after="0"/>
              <w:jc w:val="center"/>
              <w:rPr>
                <w:b/>
                <w:bCs/>
                <w:i/>
                <w:iCs/>
              </w:rPr>
            </w:pPr>
            <w:r>
              <w:rPr>
                <w:b/>
                <w:bCs/>
                <w:i/>
                <w:iCs/>
              </w:rPr>
              <w:t>1</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022FC0C" w14:textId="77777777" w:rsidR="002977E8" w:rsidRDefault="00000000">
            <w:pPr>
              <w:spacing w:after="0"/>
            </w:pPr>
            <w:r>
              <w:t xml:space="preserve">Το κάθε </w:t>
            </w:r>
            <w:proofErr w:type="spellStart"/>
            <w:r>
              <w:t>πολυκέντρο</w:t>
            </w:r>
            <w:proofErr w:type="spellEnd"/>
            <w:r>
              <w:t xml:space="preserve"> θα περιλαμβάνει:</w:t>
            </w:r>
          </w:p>
          <w:p w14:paraId="692C2A8E" w14:textId="77777777" w:rsidR="002977E8" w:rsidRDefault="00000000">
            <w:pPr>
              <w:spacing w:after="0"/>
            </w:pPr>
            <w:r>
              <w:t>α.</w:t>
            </w:r>
            <w:r>
              <w:tab/>
              <w:t xml:space="preserve">ένα αυτόματο </w:t>
            </w:r>
            <w:proofErr w:type="spellStart"/>
            <w:r>
              <w:t>πολυμηχάνημα</w:t>
            </w:r>
            <w:proofErr w:type="spellEnd"/>
            <w:r>
              <w:t xml:space="preserve"> ανακύκλωσης πλαστικών (για υλικά όγκου [τουλάχιστο] 330ml-1000ml) και μεταλλικών υλικών (για υλικά όγκου [τουλάχιστο] 330ml-3000ml), για χύδην απόρριψη και με δυνατότητα αποθήκευσης (με συμπίεση) i)&gt;=10.000 τμχ@0,33l μεταλλικών υλικών και </w:t>
            </w:r>
            <w:proofErr w:type="spellStart"/>
            <w:r>
              <w:t>ii</w:t>
            </w:r>
            <w:proofErr w:type="spellEnd"/>
            <w:r>
              <w:t>) &gt;=2500τμχ@0.5l πλαστικών υλικών. Με συμπιεστή. Η μέγιστη ταχύτητα παραλαβής θα είναι τουλάχιστον 100τμχ ανά λεπτό.</w:t>
            </w:r>
          </w:p>
          <w:p w14:paraId="5E696D64" w14:textId="77777777" w:rsidR="002977E8" w:rsidRDefault="00000000">
            <w:pPr>
              <w:spacing w:after="0"/>
            </w:pPr>
            <w:r>
              <w:t>β.</w:t>
            </w:r>
            <w:r>
              <w:tab/>
              <w:t xml:space="preserve">ένα αυτόματο μηχάνημα ανακύκλωσης γυάλινων υλικών (με –ελάχιστη- δυνατότητα επεξεργασίας γυάλινων υλικών όγκου 330ml-1.300ml), με </w:t>
            </w:r>
            <w:proofErr w:type="spellStart"/>
            <w:r>
              <w:t>θρυμματιστή</w:t>
            </w:r>
            <w:proofErr w:type="spellEnd"/>
            <w:r>
              <w:t>. Δεν θα υπάρχει νεκρός χρόνος αποδοχής υλικού κατά την απόρριψη «ένα μετά το άλλο», ενώ η μέγιστη ταχύτητα παραλαβής θα είναι τουλάχιστον 40τμχ/λεπτό. Δυνατότητα αποθήκευσης&gt;=350τμχ@0,33l θρυμματισμένου υλικού.</w:t>
            </w:r>
          </w:p>
          <w:p w14:paraId="0D966D13" w14:textId="77777777" w:rsidR="002977E8" w:rsidRDefault="00000000">
            <w:pPr>
              <w:spacing w:after="0"/>
            </w:pPr>
            <w:r>
              <w:t>γ.</w:t>
            </w:r>
            <w:r>
              <w:tab/>
              <w:t>έναν αποδέκτη υποδοχής χάρτινων υλικών. Δυνατότητα αποθήκευσης&gt;= 200lt.</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E319EA" w14:textId="77777777" w:rsidR="002977E8" w:rsidRDefault="00000000">
            <w:pPr>
              <w:spacing w:after="0"/>
              <w:jc w:val="center"/>
            </w:pPr>
            <w: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65FFB2"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0F39C3" w14:textId="77777777" w:rsidR="002977E8" w:rsidRDefault="002977E8">
            <w:pPr>
              <w:spacing w:after="0"/>
            </w:pPr>
          </w:p>
        </w:tc>
      </w:tr>
      <w:tr w:rsidR="002977E8" w14:paraId="33134881"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A4F226E" w14:textId="77777777" w:rsidR="002977E8" w:rsidRDefault="00000000">
            <w:pPr>
              <w:spacing w:after="0"/>
              <w:jc w:val="center"/>
              <w:rPr>
                <w:b/>
                <w:bCs/>
                <w:i/>
                <w:iCs/>
              </w:rPr>
            </w:pPr>
            <w:r>
              <w:rPr>
                <w:b/>
                <w:bCs/>
                <w:i/>
                <w:iCs/>
              </w:rPr>
              <w:t>2</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E8CF1F" w14:textId="77777777" w:rsidR="002977E8" w:rsidRDefault="00000000">
            <w:pPr>
              <w:spacing w:after="0"/>
            </w:pPr>
            <w:r>
              <w:t>Το κάθε αυτόματο μηχάνημα ανακύκλωσης θα πρέπει να διαθέτει σύστημα αναγνώρισης του επιστρεφόμενου υλικού, με χρήση σαρωτή γραμμικού κώδικα (</w:t>
            </w:r>
            <w:proofErr w:type="spellStart"/>
            <w:r>
              <w:t>barcode</w:t>
            </w:r>
            <w:proofErr w:type="spellEnd"/>
            <w:r>
              <w:t xml:space="preserve"> </w:t>
            </w:r>
            <w:proofErr w:type="spellStart"/>
            <w:r>
              <w:t>scanner</w:t>
            </w:r>
            <w:proofErr w:type="spellEnd"/>
            <w:r>
              <w:t>).</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65EA72A" w14:textId="77777777" w:rsidR="002977E8" w:rsidRDefault="00000000">
            <w:pPr>
              <w:spacing w:after="0"/>
              <w:jc w:val="center"/>
            </w:pPr>
            <w: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83FB400"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E93140" w14:textId="77777777" w:rsidR="002977E8" w:rsidRDefault="002977E8">
            <w:pPr>
              <w:spacing w:after="0"/>
            </w:pPr>
          </w:p>
        </w:tc>
      </w:tr>
      <w:tr w:rsidR="002977E8" w14:paraId="76B0429A"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5D1580E" w14:textId="77777777" w:rsidR="002977E8" w:rsidRDefault="00000000">
            <w:pPr>
              <w:spacing w:after="0"/>
              <w:jc w:val="center"/>
              <w:rPr>
                <w:b/>
                <w:bCs/>
                <w:i/>
                <w:iCs/>
              </w:rPr>
            </w:pPr>
            <w:r>
              <w:rPr>
                <w:b/>
                <w:bCs/>
                <w:i/>
                <w:iCs/>
              </w:rPr>
              <w:t>3</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B2BC6BC" w14:textId="77777777" w:rsidR="002977E8" w:rsidRDefault="00000000">
            <w:pPr>
              <w:spacing w:after="0"/>
            </w:pPr>
            <w:r>
              <w:t xml:space="preserve">Το κάθε αυτόματο μηχάνημα ανακύκλωσης θα πρέπει να διαθέτει σύστημα αναγνώρισης του </w:t>
            </w:r>
            <w:r>
              <w:lastRenderedPageBreak/>
              <w:t>επιστρεφόμενου υλικού, με χρήση αισθητήρων, τουλάχιστον για το πλαστικό και το μέταλλο (</w:t>
            </w:r>
            <w:proofErr w:type="spellStart"/>
            <w:r>
              <w:t>plastic</w:t>
            </w:r>
            <w:proofErr w:type="spellEnd"/>
            <w:r>
              <w:t>/</w:t>
            </w:r>
            <w:proofErr w:type="spellStart"/>
            <w:r>
              <w:t>metal</w:t>
            </w:r>
            <w:proofErr w:type="spellEnd"/>
            <w:r>
              <w:t xml:space="preserve"> </w:t>
            </w:r>
            <w:proofErr w:type="spellStart"/>
            <w:r>
              <w:t>sensor</w:t>
            </w:r>
            <w:proofErr w:type="spellEnd"/>
            <w:r>
              <w:t xml:space="preserve"> αντίστοιχα ) ή άλλου ισοδύναμου συστήματος αναγνώρισης υλικού.</w:t>
            </w:r>
          </w:p>
          <w:p w14:paraId="6973F63B" w14:textId="77777777" w:rsidR="002977E8" w:rsidRDefault="002977E8">
            <w:pPr>
              <w:spacing w:after="0"/>
            </w:pP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0BA30C5" w14:textId="77777777" w:rsidR="002977E8" w:rsidRDefault="00000000">
            <w:pPr>
              <w:spacing w:after="0"/>
              <w:jc w:val="center"/>
            </w:pPr>
            <w:r>
              <w:lastRenderedPageBreak/>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EDA84C" w14:textId="77777777" w:rsidR="002977E8" w:rsidRDefault="002977E8">
            <w:pPr>
              <w:spacing w:after="0"/>
              <w:rPr>
                <w:color w:val="FF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55E1DF6" w14:textId="77777777" w:rsidR="002977E8" w:rsidRDefault="002977E8">
            <w:pPr>
              <w:spacing w:after="0"/>
            </w:pPr>
          </w:p>
        </w:tc>
      </w:tr>
      <w:tr w:rsidR="002977E8" w14:paraId="7E971119"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2F7FEC9" w14:textId="77777777" w:rsidR="002977E8" w:rsidRDefault="00000000">
            <w:pPr>
              <w:spacing w:after="0"/>
              <w:jc w:val="center"/>
              <w:rPr>
                <w:b/>
                <w:bCs/>
                <w:i/>
                <w:iCs/>
              </w:rPr>
            </w:pPr>
            <w:r>
              <w:rPr>
                <w:b/>
                <w:bCs/>
                <w:i/>
                <w:iCs/>
              </w:rPr>
              <w:t>4</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F65423" w14:textId="77777777" w:rsidR="002977E8" w:rsidRDefault="00000000">
            <w:pPr>
              <w:spacing w:after="0"/>
            </w:pPr>
            <w:r>
              <w:t>Το κάθε αυτόματο μηχάνημα ανακύκλωσης θα πρέπει να διαθέτει σύστημα αναγνώρισης του επιστρεφόμενου υλικού, με αναγνώριση του σχήματος του υλικού (</w:t>
            </w:r>
            <w:proofErr w:type="spellStart"/>
            <w:r>
              <w:t>shape</w:t>
            </w:r>
            <w:proofErr w:type="spellEnd"/>
            <w:r>
              <w:t xml:space="preserve"> </w:t>
            </w:r>
            <w:proofErr w:type="spellStart"/>
            <w:r>
              <w:t>recognition</w:t>
            </w:r>
            <w:proofErr w:type="spellEnd"/>
            <w:r>
              <w:t>), τουλάχιστον για το  γυαλί.</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B06AADE" w14:textId="77777777" w:rsidR="002977E8" w:rsidRDefault="00000000">
            <w:pPr>
              <w:spacing w:after="0"/>
              <w:jc w:val="center"/>
            </w:pPr>
            <w: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9D5CC8F" w14:textId="77777777" w:rsidR="002977E8" w:rsidRDefault="002977E8">
            <w:pPr>
              <w:spacing w:after="0"/>
              <w:rPr>
                <w:color w:val="FF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A154F7B" w14:textId="77777777" w:rsidR="002977E8" w:rsidRDefault="002977E8">
            <w:pPr>
              <w:spacing w:after="0"/>
            </w:pPr>
          </w:p>
        </w:tc>
      </w:tr>
      <w:tr w:rsidR="002977E8" w14:paraId="0F603911"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477F01C" w14:textId="77777777" w:rsidR="002977E8" w:rsidRDefault="00000000">
            <w:pPr>
              <w:spacing w:after="0"/>
              <w:jc w:val="center"/>
              <w:rPr>
                <w:b/>
                <w:bCs/>
                <w:i/>
                <w:iCs/>
              </w:rPr>
            </w:pPr>
            <w:r>
              <w:rPr>
                <w:b/>
                <w:bCs/>
                <w:i/>
                <w:iCs/>
              </w:rPr>
              <w:t>5</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4317C0" w14:textId="77777777" w:rsidR="002977E8" w:rsidRDefault="00000000">
            <w:pPr>
              <w:spacing w:after="0"/>
            </w:pPr>
            <w:r>
              <w:t xml:space="preserve">Το κάθε </w:t>
            </w:r>
            <w:proofErr w:type="spellStart"/>
            <w:r>
              <w:t>πολυκέντρο</w:t>
            </w:r>
            <w:proofErr w:type="spellEnd"/>
            <w:r>
              <w:t xml:space="preserve"> ανακύκλωσης θα πρέπει να είναι κατασκευασμένο από κατάλληλα υλικά, τα οποία να εγγυώνται την μακρόχρονη προσδοκώμενη λειτουργία τους, λαμβανομένων υπόψη των καιρικών συνθηκών που επικρατούν στη Θεσσαλονίκη, την τοποθεσία της πόλης ως παραθαλάσσιας αλλά και τον επιδιωκόμενο σκοπό (υψηλής τεχνολογίας κατασκευές εκτεθειμένες σε εξωτερικές συνθήκες και  υποκείμενες σε ενδεχόμενη κακομεταχείριση, βανδαλισμούς, βροχή, ακραία καιρικά φαινόμενα, εμπρησμούς και ενδεχόμενα προσκρούσεις). </w:t>
            </w:r>
          </w:p>
          <w:p w14:paraId="10F2CF5C" w14:textId="77777777" w:rsidR="002977E8" w:rsidRDefault="00000000">
            <w:pPr>
              <w:spacing w:after="0"/>
            </w:pPr>
            <w:r>
              <w:t xml:space="preserve">Για τους λόγους αυτούς, θα πρέπει έκαστο </w:t>
            </w:r>
            <w:proofErr w:type="spellStart"/>
            <w:r>
              <w:t>πολυκέντρο</w:t>
            </w:r>
            <w:proofErr w:type="spellEnd"/>
            <w:r>
              <w:t xml:space="preserve"> να περικλείεται σε εξωτερική μεταλλική κατασκευή, επαρκών προδιαγραφών που να διασφαλίζει την ικανοποίηση των ανωτέρω απαιτήσεων αλλά και προστασία από βροχή.</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E09AF26" w14:textId="77777777" w:rsidR="002977E8" w:rsidRDefault="00000000">
            <w:pPr>
              <w:spacing w:after="0"/>
              <w:jc w:val="center"/>
            </w:pPr>
            <w: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4911D85"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E26538E" w14:textId="77777777" w:rsidR="002977E8" w:rsidRDefault="002977E8">
            <w:pPr>
              <w:spacing w:after="0"/>
            </w:pPr>
          </w:p>
        </w:tc>
      </w:tr>
      <w:tr w:rsidR="002977E8" w14:paraId="5415CB3A"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7A09C7" w14:textId="77777777" w:rsidR="002977E8" w:rsidRDefault="00000000">
            <w:pPr>
              <w:spacing w:after="0"/>
              <w:jc w:val="center"/>
              <w:rPr>
                <w:b/>
                <w:bCs/>
                <w:i/>
                <w:iCs/>
              </w:rPr>
            </w:pPr>
            <w:r>
              <w:rPr>
                <w:b/>
                <w:bCs/>
                <w:i/>
                <w:iCs/>
              </w:rPr>
              <w:t>6</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D617DE" w14:textId="77777777" w:rsidR="002977E8" w:rsidRDefault="00000000">
            <w:pPr>
              <w:spacing w:after="0"/>
            </w:pPr>
            <w:r>
              <w:t xml:space="preserve">Το κάθε </w:t>
            </w:r>
            <w:proofErr w:type="spellStart"/>
            <w:r>
              <w:t>πολυκέντρο</w:t>
            </w:r>
            <w:proofErr w:type="spellEnd"/>
            <w:r>
              <w:t xml:space="preserve"> θα πρέπει να φέρει φωτιστικά σώματα τα οποία θα ενεργοποιούνται αυτόματα και θα το φωτίζουν επαρκώς κατά τις βραδινές ώρες.</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55E942A" w14:textId="77777777" w:rsidR="002977E8" w:rsidRDefault="00000000">
            <w:pPr>
              <w:spacing w:after="0"/>
              <w:jc w:val="center"/>
              <w:rPr>
                <w:color w:val="auto"/>
                <w:lang w:val="en-US"/>
              </w:rPr>
            </w:pPr>
            <w:r>
              <w:rPr>
                <w:color w:val="auto"/>
                <w:lang w:val="en-US"/>
              </w:rPr>
              <w:t>NAI</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866D40B"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BE17A18" w14:textId="77777777" w:rsidR="002977E8" w:rsidRDefault="002977E8">
            <w:pPr>
              <w:spacing w:after="0"/>
            </w:pPr>
          </w:p>
        </w:tc>
      </w:tr>
      <w:tr w:rsidR="002977E8" w14:paraId="6E2937F4"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322481C" w14:textId="77777777" w:rsidR="002977E8" w:rsidRDefault="00000000">
            <w:pPr>
              <w:spacing w:after="0"/>
              <w:jc w:val="center"/>
              <w:rPr>
                <w:b/>
                <w:bCs/>
                <w:i/>
                <w:iCs/>
              </w:rPr>
            </w:pPr>
            <w:r>
              <w:rPr>
                <w:b/>
                <w:bCs/>
                <w:i/>
                <w:iCs/>
              </w:rPr>
              <w:t>7</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535446C" w14:textId="77777777" w:rsidR="002977E8" w:rsidRDefault="00000000">
            <w:pPr>
              <w:spacing w:after="0"/>
            </w:pPr>
            <w:r>
              <w:t xml:space="preserve">Το κάθε </w:t>
            </w:r>
            <w:proofErr w:type="spellStart"/>
            <w:r>
              <w:t>Πολυκέντρο</w:t>
            </w:r>
            <w:proofErr w:type="spellEnd"/>
            <w:r>
              <w:t xml:space="preserve"> θα πρέπει να φέρει σύστημα πυρανίχνευσης και άμεσης ειδοποίησης σε περίπτωση πυρκαγιάς.</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78EAC70" w14:textId="77777777" w:rsidR="002977E8" w:rsidRDefault="00000000">
            <w:pPr>
              <w:spacing w:after="0"/>
              <w:jc w:val="center"/>
            </w:pPr>
            <w: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77A304A"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59B3411" w14:textId="77777777" w:rsidR="002977E8" w:rsidRDefault="002977E8">
            <w:pPr>
              <w:spacing w:after="0"/>
            </w:pPr>
          </w:p>
        </w:tc>
      </w:tr>
      <w:tr w:rsidR="002977E8" w14:paraId="462A74C8"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E548C4B" w14:textId="77777777" w:rsidR="002977E8" w:rsidRDefault="00000000">
            <w:pPr>
              <w:spacing w:after="0"/>
              <w:jc w:val="center"/>
              <w:rPr>
                <w:b/>
                <w:bCs/>
                <w:i/>
                <w:iCs/>
              </w:rPr>
            </w:pPr>
            <w:r>
              <w:rPr>
                <w:b/>
                <w:bCs/>
                <w:i/>
                <w:iCs/>
              </w:rPr>
              <w:t>8</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C96EE70" w14:textId="77777777" w:rsidR="002977E8" w:rsidRDefault="00000000">
            <w:pPr>
              <w:spacing w:after="0"/>
            </w:pPr>
            <w:r>
              <w:t xml:space="preserve">Το κάθε </w:t>
            </w:r>
            <w:proofErr w:type="spellStart"/>
            <w:r>
              <w:t>Πολυκέντρο</w:t>
            </w:r>
            <w:proofErr w:type="spellEnd"/>
            <w:r>
              <w:t xml:space="preserve"> θα είναι ασφαλισμένο, με έξοδα του Αναδόχου, για τουλάχιστο ένα έτος έναντι οποιασδήποτε κακόβουλης ενέργειας.</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5462CAE" w14:textId="77777777" w:rsidR="002977E8" w:rsidRDefault="00000000">
            <w:pPr>
              <w:spacing w:after="0"/>
              <w:jc w:val="center"/>
            </w:pPr>
            <w: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02D01EE"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AFBE75" w14:textId="77777777" w:rsidR="002977E8" w:rsidRDefault="002977E8">
            <w:pPr>
              <w:spacing w:after="0"/>
            </w:pPr>
          </w:p>
        </w:tc>
      </w:tr>
      <w:tr w:rsidR="002977E8" w14:paraId="6C9D8083"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5CF028F" w14:textId="77777777" w:rsidR="002977E8" w:rsidRDefault="00000000">
            <w:pPr>
              <w:spacing w:after="0"/>
              <w:jc w:val="center"/>
              <w:rPr>
                <w:b/>
                <w:bCs/>
                <w:i/>
                <w:iCs/>
              </w:rPr>
            </w:pPr>
            <w:r>
              <w:rPr>
                <w:b/>
                <w:bCs/>
                <w:i/>
                <w:iCs/>
              </w:rPr>
              <w:t>9</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A202FD" w14:textId="77777777" w:rsidR="002977E8" w:rsidRDefault="00000000">
            <w:pPr>
              <w:spacing w:after="0"/>
            </w:pPr>
            <w:r>
              <w:t xml:space="preserve">Η συνολική επιφάνεια κάλυψης του κάθε </w:t>
            </w:r>
            <w:proofErr w:type="spellStart"/>
            <w:r>
              <w:t>πολυκέντρου</w:t>
            </w:r>
            <w:proofErr w:type="spellEnd"/>
            <w:r>
              <w:t xml:space="preserve"> ανακύκλωσης δεν θα πρέπει να υπερβαίνει τα 30m</w:t>
            </w:r>
            <w:r>
              <w:rPr>
                <w:vertAlign w:val="superscript"/>
              </w:rPr>
              <w:t>2</w:t>
            </w:r>
            <w:r>
              <w:t>.</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5971FC" w14:textId="77777777" w:rsidR="002977E8" w:rsidRDefault="00000000">
            <w:pPr>
              <w:spacing w:after="0"/>
              <w:jc w:val="center"/>
            </w:pPr>
            <w: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576B4BA"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60017CB" w14:textId="77777777" w:rsidR="002977E8" w:rsidRDefault="002977E8">
            <w:pPr>
              <w:spacing w:after="0"/>
            </w:pPr>
          </w:p>
        </w:tc>
      </w:tr>
      <w:tr w:rsidR="002977E8" w14:paraId="1982138C"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582383" w14:textId="77777777" w:rsidR="002977E8" w:rsidRDefault="00000000">
            <w:pPr>
              <w:spacing w:after="0"/>
              <w:jc w:val="center"/>
              <w:rPr>
                <w:b/>
                <w:bCs/>
                <w:i/>
                <w:iCs/>
              </w:rPr>
            </w:pPr>
            <w:r>
              <w:rPr>
                <w:b/>
                <w:bCs/>
                <w:i/>
                <w:iCs/>
              </w:rPr>
              <w:t>10</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575798" w14:textId="77777777" w:rsidR="002977E8" w:rsidRDefault="00000000">
            <w:pPr>
              <w:spacing w:after="0"/>
            </w:pPr>
            <w:r>
              <w:t xml:space="preserve">Το κάθε </w:t>
            </w:r>
            <w:proofErr w:type="spellStart"/>
            <w:r>
              <w:t>πολυκέντρο</w:t>
            </w:r>
            <w:proofErr w:type="spellEnd"/>
            <w:r>
              <w:t xml:space="preserve"> θα διαθέτει οθόνη για την ενημέρωση και καθοδήγηση του χρήστη αναφορικά με τη λειτουργία του μηχανήματος σε τουλάχιστο δύο διαφορετικές γλώσσες (Ελληνικά και Αγγλικά κατ’ ελάχιστο).</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AC8378F" w14:textId="77777777" w:rsidR="002977E8" w:rsidRDefault="00000000">
            <w:pPr>
              <w:spacing w:after="0"/>
              <w:jc w:val="center"/>
            </w:pPr>
            <w: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0864E1"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312F65C" w14:textId="77777777" w:rsidR="002977E8" w:rsidRDefault="002977E8">
            <w:pPr>
              <w:spacing w:after="0"/>
            </w:pPr>
          </w:p>
        </w:tc>
      </w:tr>
      <w:tr w:rsidR="002977E8" w14:paraId="2621BD7A"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E349975" w14:textId="77777777" w:rsidR="002977E8" w:rsidRDefault="00000000">
            <w:pPr>
              <w:spacing w:after="0"/>
              <w:jc w:val="center"/>
              <w:rPr>
                <w:b/>
                <w:bCs/>
                <w:i/>
                <w:iCs/>
              </w:rPr>
            </w:pPr>
            <w:r>
              <w:rPr>
                <w:b/>
                <w:bCs/>
                <w:i/>
                <w:iCs/>
              </w:rPr>
              <w:t>11</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2EFEECD" w14:textId="77777777" w:rsidR="002977E8" w:rsidRDefault="00000000">
            <w:pPr>
              <w:spacing w:after="0"/>
            </w:pPr>
            <w:r>
              <w:t xml:space="preserve">Χαρακτηριστικά των κάδων προσωρινής αποθήκευσης κάθε ρεύματος και περιγραφή του </w:t>
            </w:r>
            <w:r>
              <w:lastRenderedPageBreak/>
              <w:t xml:space="preserve">τρόπου με τον οποίο θα είναι δυνατή η αποκομιδή των </w:t>
            </w:r>
            <w:proofErr w:type="spellStart"/>
            <w:r>
              <w:t>απορριπτομένων</w:t>
            </w:r>
            <w:proofErr w:type="spellEnd"/>
            <w:r>
              <w:t xml:space="preserve"> υλικών, ήτοι: (Πλήθος και αναλυτικές διαστάσεις κάδων, αναμενόμενο βάρος καθενός από αυτούς όταν είναι γεμάτοι, τρόπος μεταφοράς τους και αδειάσματός τους, τυχόν ειδικές προϋποθέσεις που πρέπει να ισχύουν για το άδειασμα αυτών όπως π.χ. χρήση ειδικού οχήματος ή εξοπλισμού, πρόσβαση κλπ., ενδεικνυόμενος τύπος οχήματος αποκομιδής, καθώς και κάθε άλλη σχετική πληροφορία).</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9A90B62" w14:textId="77777777" w:rsidR="002977E8" w:rsidRDefault="00000000">
            <w:pPr>
              <w:spacing w:after="0"/>
              <w:jc w:val="center"/>
            </w:pPr>
            <w:r>
              <w:lastRenderedPageBreak/>
              <w:t xml:space="preserve">ΑΠΑΙΤΕΙΤΑΙ </w:t>
            </w:r>
            <w:r>
              <w:lastRenderedPageBreak/>
              <w:t>ΑΝΑΛΥΤΙΚΗ ΠΕΡΙΓΡΑΦΗ</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26916F"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3A61934" w14:textId="77777777" w:rsidR="002977E8" w:rsidRDefault="002977E8">
            <w:pPr>
              <w:spacing w:after="0"/>
            </w:pPr>
          </w:p>
        </w:tc>
      </w:tr>
      <w:tr w:rsidR="002977E8" w14:paraId="2971A767"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76EC623" w14:textId="77777777" w:rsidR="002977E8" w:rsidRDefault="00000000">
            <w:pPr>
              <w:spacing w:after="0"/>
              <w:jc w:val="center"/>
              <w:rPr>
                <w:b/>
                <w:bCs/>
                <w:i/>
                <w:iCs/>
              </w:rPr>
            </w:pPr>
            <w:r>
              <w:rPr>
                <w:b/>
                <w:bCs/>
                <w:i/>
                <w:iCs/>
              </w:rPr>
              <w:t>12</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B41E3B" w14:textId="77777777" w:rsidR="002977E8" w:rsidRDefault="00000000">
            <w:pPr>
              <w:spacing w:after="0"/>
            </w:pPr>
            <w:r>
              <w:t xml:space="preserve">Κάθε </w:t>
            </w:r>
            <w:proofErr w:type="spellStart"/>
            <w:r>
              <w:t>πολυκέντρο</w:t>
            </w:r>
            <w:proofErr w:type="spellEnd"/>
            <w:r>
              <w:t xml:space="preserve"> θα ενσωματώνει σύστημα επιβράβευσης του </w:t>
            </w:r>
            <w:proofErr w:type="spellStart"/>
            <w:r>
              <w:t>ανακυκλωτή</w:t>
            </w:r>
            <w:proofErr w:type="spellEnd"/>
            <w:r>
              <w:t xml:space="preserve"> (τουλάχιστο για τα πλαστικά-μεταλλικά-γυάλινα υλικά). </w:t>
            </w:r>
          </w:p>
          <w:p w14:paraId="6BF89E77" w14:textId="77777777" w:rsidR="002977E8" w:rsidRDefault="00000000">
            <w:pPr>
              <w:spacing w:after="0"/>
            </w:pPr>
            <w:r>
              <w:t xml:space="preserve">Μέσω του συστήματος αυτού –το οποίο θα πρέπει να είναι ρυθμιζόμενο για το ποσό ανταπόδοσης- θα εκτυπώνεται κουπόνι το οποίο θα παραλαμβάνει ο κάθε </w:t>
            </w:r>
            <w:proofErr w:type="spellStart"/>
            <w:r>
              <w:t>ανακυκλωτής</w:t>
            </w:r>
            <w:proofErr w:type="spellEnd"/>
            <w:r>
              <w:t xml:space="preserve">, αναλόγως της ποσότητας ή όγκου των υλικών που απέρριψε και θα μπορεί να χρησιμοποιήσει περαιτέρω σύμφωνα με τους όρους που θα θέσει ο Δήμος Θεσσαλονίκης. </w:t>
            </w:r>
          </w:p>
          <w:p w14:paraId="3BE41DC3" w14:textId="77777777" w:rsidR="002977E8" w:rsidRDefault="00000000">
            <w:pPr>
              <w:spacing w:after="0"/>
            </w:pPr>
            <w:r>
              <w:t xml:space="preserve">Παράλληλα, θα πρέπει να δίνεται με απλό τρόπο η δυνατότητα στον </w:t>
            </w:r>
            <w:proofErr w:type="spellStart"/>
            <w:r>
              <w:t>ανακυκλωτή</w:t>
            </w:r>
            <w:proofErr w:type="spellEnd"/>
            <w:r>
              <w:t xml:space="preserve"> για τη δωρεά του ποσού που του αναλογεί σε έναν ή περισσότερους προεπιλεγμένους (από τον Δήμο Θεσσαλονίκης) αποδέκτες.</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9569649" w14:textId="77777777" w:rsidR="002977E8" w:rsidRDefault="00000000">
            <w:pPr>
              <w:spacing w:after="0"/>
              <w:jc w:val="center"/>
              <w:rPr>
                <w:color w:val="auto"/>
                <w:lang w:val="en-US"/>
              </w:rPr>
            </w:pPr>
            <w:r>
              <w:rPr>
                <w:color w:val="auto"/>
                <w:lang w:val="en-US"/>
              </w:rPr>
              <w:t>NAI</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D03D32"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4C8765D" w14:textId="77777777" w:rsidR="002977E8" w:rsidRDefault="002977E8">
            <w:pPr>
              <w:spacing w:after="0"/>
            </w:pPr>
          </w:p>
        </w:tc>
      </w:tr>
      <w:tr w:rsidR="002977E8" w14:paraId="2059A7CB"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2FD730" w14:textId="77777777" w:rsidR="002977E8" w:rsidRDefault="00000000">
            <w:pPr>
              <w:spacing w:after="0"/>
              <w:jc w:val="center"/>
              <w:rPr>
                <w:b/>
                <w:bCs/>
                <w:i/>
                <w:iCs/>
              </w:rPr>
            </w:pPr>
            <w:r>
              <w:rPr>
                <w:b/>
                <w:bCs/>
                <w:i/>
                <w:iCs/>
              </w:rPr>
              <w:t>13</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E5F0BD4" w14:textId="77777777" w:rsidR="002977E8" w:rsidRDefault="00000000">
            <w:pPr>
              <w:spacing w:after="0"/>
            </w:pPr>
            <w:r>
              <w:t xml:space="preserve">Το σύνολο των </w:t>
            </w:r>
            <w:proofErr w:type="spellStart"/>
            <w:r>
              <w:t>πολυκέντρων</w:t>
            </w:r>
            <w:proofErr w:type="spellEnd"/>
            <w:r>
              <w:t xml:space="preserve"> ανακύκλωσης θα μπορεί να παρακολουθείται από σταθμό βάσης, μέσω δικτύου κινητής τηλεφωνίας (GSM, 4G ή ανάλογο ή καλύτερο- αποκλείεται η χρήση δικτύου 3G λόγω επικείμενης κατάργησής του) ή τυχόν ανάλογου.</w:t>
            </w:r>
          </w:p>
          <w:p w14:paraId="0F55911F" w14:textId="77777777" w:rsidR="002977E8" w:rsidRDefault="00000000">
            <w:pPr>
              <w:spacing w:after="0"/>
            </w:pPr>
            <w:r>
              <w:t xml:space="preserve">Το κόστος του σταθμού βάσης (εξειδικευμένο λογισμικό και πιθανώς εξειδικευμένο </w:t>
            </w:r>
            <w:proofErr w:type="spellStart"/>
            <w:r>
              <w:t>hardware</w:t>
            </w:r>
            <w:proofErr w:type="spellEnd"/>
            <w:r>
              <w:t xml:space="preserve">) περιλαμβάνεται στην προσφερόμενη τιμή του κάθε </w:t>
            </w:r>
            <w:proofErr w:type="spellStart"/>
            <w:r>
              <w:t>πολυκέντρου</w:t>
            </w:r>
            <w:proofErr w:type="spellEnd"/>
            <w:r>
              <w:t xml:space="preserve"> ανακύκλωσης, εκτός και εάν το λογισμικό μπορεί να λειτουργήσει ικανοποιητικά σε συνήθεις υπολογιστές γραφείου (π.χ. </w:t>
            </w:r>
            <w:proofErr w:type="spellStart"/>
            <w:r>
              <w:t>web</w:t>
            </w:r>
            <w:proofErr w:type="spellEnd"/>
            <w:r>
              <w:t xml:space="preserve"> </w:t>
            </w:r>
            <w:proofErr w:type="spellStart"/>
            <w:r>
              <w:t>based</w:t>
            </w:r>
            <w:proofErr w:type="spellEnd"/>
            <w:r>
              <w:t xml:space="preserve"> εφαρμογή). </w:t>
            </w:r>
          </w:p>
          <w:p w14:paraId="60AD0237" w14:textId="77777777" w:rsidR="002977E8" w:rsidRDefault="00000000">
            <w:pPr>
              <w:spacing w:after="0"/>
            </w:pPr>
            <w:r>
              <w:t>Από τον σταθμό βάσης θα μπορούν να εξάγονται, τουλάχιστον, τα παρακάτω στοιχεία:</w:t>
            </w:r>
          </w:p>
          <w:p w14:paraId="683ADB68" w14:textId="77777777" w:rsidR="002977E8" w:rsidRDefault="00000000">
            <w:pPr>
              <w:pStyle w:val="af5"/>
              <w:numPr>
                <w:ilvl w:val="0"/>
                <w:numId w:val="2"/>
              </w:numPr>
              <w:spacing w:after="0"/>
            </w:pPr>
            <w:r>
              <w:t xml:space="preserve">Κατάσταση καλής λειτουργίας του εκάστοτε </w:t>
            </w:r>
            <w:proofErr w:type="spellStart"/>
            <w:r>
              <w:t>πολυκέντρου</w:t>
            </w:r>
            <w:proofErr w:type="spellEnd"/>
            <w:r>
              <w:t xml:space="preserve"> ανακύκλωσης (για κάθε αυτόματο μηχάνημα ανακύκλωσης).</w:t>
            </w:r>
          </w:p>
          <w:p w14:paraId="35002668" w14:textId="77777777" w:rsidR="002977E8" w:rsidRDefault="00000000">
            <w:pPr>
              <w:pStyle w:val="af5"/>
              <w:numPr>
                <w:ilvl w:val="0"/>
                <w:numId w:val="2"/>
              </w:numPr>
              <w:spacing w:after="0"/>
            </w:pPr>
            <w:r>
              <w:t>Ειδοποίηση προβλημάτων λειτουργίας των αυτόματων μηχανημάτων ανακύ</w:t>
            </w:r>
            <w:r>
              <w:lastRenderedPageBreak/>
              <w:t xml:space="preserve">κλωσης, με </w:t>
            </w:r>
            <w:proofErr w:type="spellStart"/>
            <w:r>
              <w:t>χρονοσήμανση</w:t>
            </w:r>
            <w:proofErr w:type="spellEnd"/>
            <w:r>
              <w:t>, κωδικοποίηση σφάλματος και συνοπτική περιγραφή του προβλήματος.</w:t>
            </w:r>
          </w:p>
          <w:p w14:paraId="61CE46C3" w14:textId="77777777" w:rsidR="002977E8" w:rsidRDefault="00000000">
            <w:pPr>
              <w:pStyle w:val="af5"/>
              <w:numPr>
                <w:ilvl w:val="0"/>
                <w:numId w:val="2"/>
              </w:numPr>
              <w:spacing w:after="0"/>
            </w:pPr>
            <w:r>
              <w:t xml:space="preserve">Ποσότητα και είδος υλικών που ανακυκλώθηκαν σε κάθε </w:t>
            </w:r>
            <w:proofErr w:type="spellStart"/>
            <w:r>
              <w:t>πολυκέντρο</w:t>
            </w:r>
            <w:proofErr w:type="spellEnd"/>
            <w:r>
              <w:t xml:space="preserve">, ανά ημέρα τουλάχιστο, με αντίστοιχη </w:t>
            </w:r>
            <w:proofErr w:type="spellStart"/>
            <w:r>
              <w:t>χρονοσήμανση</w:t>
            </w:r>
            <w:proofErr w:type="spellEnd"/>
            <w:r>
              <w:t xml:space="preserve">. Επιθυμητά, και για λόγους βελτιστοποίησης των δρομολογίων αποκομιδής, να υπάρχει σχετική πληροφορία σε ωριαία βάση. Δυνατότητα εκτύπωσης των αναφορών αυτών, και εξαγωγής των σε επεξεργάσιμο, ευρέως διαδεδομένο, </w:t>
            </w:r>
            <w:proofErr w:type="spellStart"/>
            <w:r>
              <w:t>μορφότυπο</w:t>
            </w:r>
            <w:proofErr w:type="spellEnd"/>
            <w:r>
              <w:t xml:space="preserve">. </w:t>
            </w:r>
          </w:p>
          <w:p w14:paraId="417D7EA8" w14:textId="77777777" w:rsidR="002977E8" w:rsidRDefault="00000000">
            <w:pPr>
              <w:pStyle w:val="af5"/>
              <w:numPr>
                <w:ilvl w:val="0"/>
                <w:numId w:val="2"/>
              </w:numPr>
              <w:spacing w:after="0"/>
            </w:pPr>
            <w:r>
              <w:t>Αριθμό χρηστών/</w:t>
            </w:r>
            <w:proofErr w:type="spellStart"/>
            <w:r>
              <w:t>ανακυκλωτών</w:t>
            </w:r>
            <w:proofErr w:type="spellEnd"/>
            <w:r>
              <w:t xml:space="preserve"> και ποσό </w:t>
            </w:r>
            <w:proofErr w:type="spellStart"/>
            <w:r>
              <w:t>προσφερθέντος</w:t>
            </w:r>
            <w:proofErr w:type="spellEnd"/>
            <w:r>
              <w:t xml:space="preserve"> </w:t>
            </w:r>
            <w:proofErr w:type="spellStart"/>
            <w:r>
              <w:t>εγγυοδοτι-κού</w:t>
            </w:r>
            <w:proofErr w:type="spellEnd"/>
            <w:r>
              <w:t xml:space="preserve"> αντιτίμου επιβράβευσης τα οποία εκδόθηκαν από κάθε </w:t>
            </w:r>
            <w:proofErr w:type="spellStart"/>
            <w:r>
              <w:t>πολυκέντρο</w:t>
            </w:r>
            <w:proofErr w:type="spellEnd"/>
            <w:r>
              <w:t xml:space="preserve"> (ή από κάθε αυτόματο μηχάνημα ανακύκλωσης) στη διάρκεια μίας ημέρας.  </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670C861" w14:textId="77777777" w:rsidR="002977E8" w:rsidRDefault="00000000">
            <w:pPr>
              <w:spacing w:after="0"/>
              <w:jc w:val="center"/>
              <w:rPr>
                <w:color w:val="auto"/>
                <w:lang w:val="en-US"/>
              </w:rPr>
            </w:pPr>
            <w:r>
              <w:rPr>
                <w:color w:val="auto"/>
                <w:lang w:val="en-US"/>
              </w:rPr>
              <w:lastRenderedPageBreak/>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C3E072"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863987" w14:textId="77777777" w:rsidR="002977E8" w:rsidRDefault="002977E8">
            <w:pPr>
              <w:spacing w:after="0"/>
            </w:pPr>
          </w:p>
        </w:tc>
      </w:tr>
      <w:tr w:rsidR="002977E8" w14:paraId="70BE22EE"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A86CF9E" w14:textId="77777777" w:rsidR="002977E8" w:rsidRDefault="00000000">
            <w:pPr>
              <w:spacing w:after="0"/>
              <w:jc w:val="center"/>
              <w:rPr>
                <w:b/>
                <w:bCs/>
                <w:i/>
                <w:iCs/>
              </w:rPr>
            </w:pPr>
            <w:r>
              <w:rPr>
                <w:b/>
                <w:bCs/>
                <w:i/>
                <w:iCs/>
              </w:rPr>
              <w:t>14</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0D7B512" w14:textId="77777777" w:rsidR="002977E8" w:rsidRDefault="00000000">
            <w:pPr>
              <w:spacing w:after="0"/>
            </w:pPr>
            <w:r>
              <w:t xml:space="preserve">Το κάθε </w:t>
            </w:r>
            <w:proofErr w:type="spellStart"/>
            <w:r>
              <w:t>πολυκέντρο</w:t>
            </w:r>
            <w:proofErr w:type="spellEnd"/>
            <w:r>
              <w:t xml:space="preserve"> θα φέρει περιμετρικά ψηφιακές εκτυπώσεις του </w:t>
            </w:r>
            <w:proofErr w:type="spellStart"/>
            <w:r>
              <w:t>πολυκέντρου</w:t>
            </w:r>
            <w:proofErr w:type="spellEnd"/>
            <w:r>
              <w:t xml:space="preserve"> (το περιεχόμενο των οποίων θα αποφασισθεί από τον Δήμο Θεσσαλονίκης), οι οποίες θα είναι εξαιρετικής αντοχής, κατάλληλες για εξωτερικό χώρο και με αναμενόμενο χρόνο ζωής πέραν του έτους. </w:t>
            </w:r>
          </w:p>
          <w:p w14:paraId="3E4A30C2" w14:textId="77777777" w:rsidR="002977E8" w:rsidRDefault="00000000">
            <w:pPr>
              <w:spacing w:after="0"/>
            </w:pPr>
            <w:r>
              <w:t xml:space="preserve">Το κόστος του γραφίστα, των εκτυπώσεων αυτών και η τοποθέτησή τους περιλαμβάνεται στο κόστος του εκάστοτε </w:t>
            </w:r>
            <w:proofErr w:type="spellStart"/>
            <w:r>
              <w:t>πολυκέντρου</w:t>
            </w:r>
            <w:proofErr w:type="spellEnd"/>
            <w:r>
              <w:t xml:space="preserve"> ανακύκλωσης, ενώ παράλληλα ο Δήμος Θεσσαλονίκης διατηρεί το δικαίωμα για την επιλογή έως και πέντε διαφορετικών εκτυπώσεων.</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F3D4550"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C98E8CD"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27D90B" w14:textId="77777777" w:rsidR="002977E8" w:rsidRDefault="002977E8">
            <w:pPr>
              <w:spacing w:after="0"/>
            </w:pPr>
          </w:p>
        </w:tc>
      </w:tr>
      <w:tr w:rsidR="002977E8" w14:paraId="374AD940"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4EFD8C" w14:textId="77777777" w:rsidR="002977E8" w:rsidRDefault="00000000">
            <w:pPr>
              <w:spacing w:after="0"/>
              <w:jc w:val="center"/>
              <w:rPr>
                <w:b/>
                <w:bCs/>
                <w:i/>
                <w:iCs/>
              </w:rPr>
            </w:pPr>
            <w:r>
              <w:rPr>
                <w:b/>
                <w:bCs/>
                <w:i/>
                <w:iCs/>
              </w:rPr>
              <w:t>15</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61B740" w14:textId="77777777" w:rsidR="002977E8" w:rsidRDefault="00000000">
            <w:pPr>
              <w:spacing w:after="0"/>
            </w:pPr>
            <w:r>
              <w:t xml:space="preserve">Ο σχεδιασμός του κάθε </w:t>
            </w:r>
            <w:proofErr w:type="spellStart"/>
            <w:r>
              <w:t>πολυκέντρου</w:t>
            </w:r>
            <w:proofErr w:type="spellEnd"/>
            <w:r>
              <w:t xml:space="preserve"> ανακύκλωσης θα πρέπει να είναι τέτοιος ώστε να μπορεί να χρησιμοποιείται από ΑΜΕΑ. Επομένως θα είναι σε εφαρμογή οι σχετικές νομικές διατάξεις, όπως ο «Οδηγός  Σχεδιασμού»  του  Γραφείου  </w:t>
            </w:r>
            <w:proofErr w:type="spellStart"/>
            <w:r>
              <w:t>ΑμεΑ</w:t>
            </w:r>
            <w:proofErr w:type="spellEnd"/>
            <w:r>
              <w:t xml:space="preserve">  /  ΥΠΕΧΩΔΕ  με  τίτλο  «Σχεδιάζοντας  για  Όλους» αναφορικά με τον «αστικό εξοπλισμό».</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C018D3"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D8512D1"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2FD6A9" w14:textId="77777777" w:rsidR="002977E8" w:rsidRDefault="002977E8">
            <w:pPr>
              <w:spacing w:after="0"/>
            </w:pPr>
          </w:p>
        </w:tc>
      </w:tr>
      <w:tr w:rsidR="002977E8" w14:paraId="5CFADFC8"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7D4D82" w14:textId="77777777" w:rsidR="002977E8" w:rsidRDefault="00000000">
            <w:pPr>
              <w:spacing w:after="0"/>
              <w:jc w:val="center"/>
              <w:rPr>
                <w:b/>
                <w:bCs/>
                <w:i/>
                <w:iCs/>
              </w:rPr>
            </w:pPr>
            <w:r>
              <w:rPr>
                <w:b/>
                <w:bCs/>
                <w:i/>
                <w:iCs/>
              </w:rPr>
              <w:t>16</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134539" w14:textId="77777777" w:rsidR="002977E8" w:rsidRDefault="00000000">
            <w:pPr>
              <w:spacing w:after="0"/>
            </w:pPr>
            <w:r>
              <w:t xml:space="preserve">Το κάθε </w:t>
            </w:r>
            <w:proofErr w:type="spellStart"/>
            <w:r>
              <w:t>πολυκέντρο</w:t>
            </w:r>
            <w:proofErr w:type="spellEnd"/>
            <w:r>
              <w:t xml:space="preserve"> ανακύκλωσης θα πρέπει να είναι κατασκευασμένο από κατάλληλα υλικά, τα οποία να εγγυώνται την μακρόχρονη προσδοκώμενη λειτουργία τους, λαμβανομένων υπόψη των καιρικών συνθηκών που επικρατούν στη Θεσσαλονίκη, την τοποθεσία της πόλης ως παραθαλάσσιας αλλά και τον επιδιωκόμενο σκοπό (υψηλής τεχνολογίας κατασκευές εκτεθειμένες σε εξωτερικές συνθήκες </w:t>
            </w:r>
            <w:r>
              <w:lastRenderedPageBreak/>
              <w:t>και  υποκείμενες σε ενδεχόμενη κακομεταχείριση, βανδαλισμούς, βροχή, ακραία καιρικά φαινόμενα, εμπρησμούς και ενδεχόμενα προσκρούσεις).</w:t>
            </w:r>
          </w:p>
          <w:p w14:paraId="0D53831D" w14:textId="77777777" w:rsidR="002977E8" w:rsidRDefault="00000000">
            <w:pPr>
              <w:spacing w:after="0"/>
            </w:pPr>
            <w:r>
              <w:t>θα προσκομιστεί πιστοποιητικό του κατασκευαστή των αυτόματων μηχανημάτων ανακύκλωσης υλικών που να βεβαιώνει τη συμβατότητα όλων των προσφερόμενων αυτόματων μηχανημάτων ανακύκλωσης με τις ανωτέρω συνθήκες κλίματος και επίσης να βεβαιώνει ότι όλα τα προσφερόμενα αυτόματα μηχανήματα ανακύκλωσης υλικών είναι κατασκευασμένα για χρήση σε εξωτερικό χώρο (</w:t>
            </w:r>
            <w:proofErr w:type="spellStart"/>
            <w:r>
              <w:t>outdoor</w:t>
            </w:r>
            <w:proofErr w:type="spellEnd"/>
            <w:r>
              <w:t xml:space="preserve"> </w:t>
            </w:r>
            <w:proofErr w:type="spellStart"/>
            <w:r>
              <w:t>use</w:t>
            </w:r>
            <w:proofErr w:type="spellEnd"/>
            <w:r>
              <w:t xml:space="preserve">) με εγγύηση αντισκωριακής προστασίας των μεταλλικών μερών για την προσδοκώμενη διάρκεια ζωής του </w:t>
            </w:r>
            <w:proofErr w:type="spellStart"/>
            <w:r>
              <w:t>πολυκέντρου</w:t>
            </w:r>
            <w:proofErr w:type="spellEnd"/>
            <w:r>
              <w:t>.</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7D9961F" w14:textId="77777777" w:rsidR="002977E8" w:rsidRDefault="00000000">
            <w:pPr>
              <w:spacing w:after="0"/>
              <w:jc w:val="center"/>
              <w:rPr>
                <w:color w:val="auto"/>
              </w:rPr>
            </w:pPr>
            <w:r>
              <w:rPr>
                <w:color w:val="auto"/>
              </w:rPr>
              <w:lastRenderedPageBreak/>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611201"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3FC9C0A" w14:textId="77777777" w:rsidR="002977E8" w:rsidRDefault="002977E8">
            <w:pPr>
              <w:spacing w:after="0"/>
            </w:pPr>
          </w:p>
        </w:tc>
      </w:tr>
      <w:tr w:rsidR="002977E8" w14:paraId="11299D22"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F67E5AF" w14:textId="77777777" w:rsidR="002977E8" w:rsidRDefault="00000000">
            <w:pPr>
              <w:spacing w:after="0"/>
              <w:jc w:val="center"/>
              <w:rPr>
                <w:b/>
                <w:bCs/>
                <w:i/>
                <w:iCs/>
              </w:rPr>
            </w:pPr>
            <w:r>
              <w:rPr>
                <w:b/>
                <w:bCs/>
                <w:i/>
                <w:iCs/>
              </w:rPr>
              <w:t>17</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E31EDF" w14:textId="77777777" w:rsidR="002977E8" w:rsidRDefault="00000000">
            <w:pPr>
              <w:spacing w:after="0"/>
            </w:pPr>
            <w:r>
              <w:t xml:space="preserve">Πιστοποιητικό και κατάλογος όπου έχουν εγκατασταθεί τουλάχιστον πέντε (5) παρόμοια </w:t>
            </w:r>
            <w:proofErr w:type="spellStart"/>
            <w:r>
              <w:t>πολυκέντρα</w:t>
            </w:r>
            <w:proofErr w:type="spellEnd"/>
            <w:r>
              <w:t xml:space="preserve"> τα τελευταία τρία (3) έτη από την ημερομηνία κατάθεσης της προσφοράς σε περιοχή με παρόμοιες συνθήκες κλίματος, για χρονικό διάστημα τουλάχιστον έξι (6) μηνών και λειτουργούν χωρίς προβλήματα, με  τα πλήρη στοιχεία επικοινωνίας τουλάχιστον ενός σχετικού πελάτη.</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72448F8"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6104AF4"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A184C07" w14:textId="77777777" w:rsidR="002977E8" w:rsidRDefault="002977E8">
            <w:pPr>
              <w:spacing w:after="0"/>
            </w:pPr>
          </w:p>
        </w:tc>
      </w:tr>
      <w:tr w:rsidR="002977E8" w14:paraId="79F0C4D8"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47DED1C" w14:textId="77777777" w:rsidR="002977E8" w:rsidRDefault="00000000">
            <w:pPr>
              <w:spacing w:after="0"/>
              <w:jc w:val="center"/>
              <w:rPr>
                <w:b/>
                <w:bCs/>
                <w:i/>
                <w:iCs/>
              </w:rPr>
            </w:pPr>
            <w:r>
              <w:rPr>
                <w:b/>
                <w:bCs/>
                <w:i/>
                <w:iCs/>
              </w:rPr>
              <w:t>18</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9ACFFE" w14:textId="77777777" w:rsidR="006D05AF" w:rsidRDefault="006D05AF">
            <w:pPr>
              <w:spacing w:after="0"/>
            </w:pPr>
          </w:p>
          <w:p w14:paraId="6DFDF0C9" w14:textId="22D8FE26" w:rsidR="002977E8" w:rsidRDefault="00000000">
            <w:pPr>
              <w:spacing w:after="0"/>
            </w:pPr>
            <w:r>
              <w:t xml:space="preserve">Κατάθεση δείγματος ή επίδειξη πανομοιότυπου </w:t>
            </w:r>
            <w:proofErr w:type="spellStart"/>
            <w:r>
              <w:t>πολυκέντρου</w:t>
            </w:r>
            <w:proofErr w:type="spellEnd"/>
            <w:r>
              <w:t xml:space="preserve"> σύμφωνα με τους όρους και τις προϋποθέσεις του </w:t>
            </w:r>
            <w:proofErr w:type="spellStart"/>
            <w:r>
              <w:t>εδαφ</w:t>
            </w:r>
            <w:proofErr w:type="spellEnd"/>
            <w:r>
              <w:t>. 7.2 της παρούσης.</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20B2FE7"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2398583"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C3CF34" w14:textId="77777777" w:rsidR="002977E8" w:rsidRDefault="002977E8">
            <w:pPr>
              <w:spacing w:after="0"/>
            </w:pPr>
          </w:p>
        </w:tc>
      </w:tr>
      <w:tr w:rsidR="002977E8" w14:paraId="31BB826B"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4BC9333" w14:textId="77777777" w:rsidR="002977E8" w:rsidRDefault="00000000">
            <w:pPr>
              <w:spacing w:after="0"/>
              <w:jc w:val="center"/>
              <w:rPr>
                <w:b/>
                <w:bCs/>
                <w:i/>
                <w:iCs/>
              </w:rPr>
            </w:pPr>
            <w:r>
              <w:rPr>
                <w:b/>
                <w:bCs/>
                <w:i/>
                <w:iCs/>
              </w:rPr>
              <w:t>19</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67C166" w14:textId="77777777" w:rsidR="002977E8" w:rsidRDefault="00000000">
            <w:pPr>
              <w:spacing w:after="0"/>
            </w:pPr>
            <w:r>
              <w:t xml:space="preserve">Υποχρέωση δημιουργίας υποδομών για την εγκατάσταση των </w:t>
            </w:r>
            <w:proofErr w:type="spellStart"/>
            <w:r>
              <w:t>πολυκέντρων</w:t>
            </w:r>
            <w:proofErr w:type="spellEnd"/>
            <w:r>
              <w:t xml:space="preserve"> και διεξαγωγή </w:t>
            </w:r>
            <w:r>
              <w:rPr>
                <w:lang w:val="en-US"/>
              </w:rPr>
              <w:t>acceptance</w:t>
            </w:r>
            <w:r>
              <w:t xml:space="preserve"> </w:t>
            </w:r>
            <w:r>
              <w:rPr>
                <w:lang w:val="en-US"/>
              </w:rPr>
              <w:t>tests</w:t>
            </w:r>
            <w:r>
              <w:t xml:space="preserve"> σύμφωνα με τους όρους του </w:t>
            </w:r>
            <w:proofErr w:type="spellStart"/>
            <w:r>
              <w:t>εδαφ</w:t>
            </w:r>
            <w:proofErr w:type="spellEnd"/>
            <w:r>
              <w:t>. 7.4.</w:t>
            </w:r>
          </w:p>
          <w:p w14:paraId="347356E6" w14:textId="77777777" w:rsidR="002977E8" w:rsidRDefault="00000000">
            <w:pPr>
              <w:spacing w:after="0"/>
            </w:pPr>
            <w:r>
              <w:t xml:space="preserve">Επιπρόσθετα, το κάθε </w:t>
            </w:r>
            <w:proofErr w:type="spellStart"/>
            <w:r>
              <w:t>πολυκέντρο</w:t>
            </w:r>
            <w:proofErr w:type="spellEnd"/>
            <w:r>
              <w:t xml:space="preserve"> θα διαθέτει διασύνδεση (π.χ. </w:t>
            </w:r>
            <w:proofErr w:type="spellStart"/>
            <w:r>
              <w:t>κλέμμα</w:t>
            </w:r>
            <w:proofErr w:type="spellEnd"/>
            <w:r>
              <w:t xml:space="preserve"> ή </w:t>
            </w:r>
            <w:proofErr w:type="spellStart"/>
            <w:r>
              <w:t>υποπίνακας</w:t>
            </w:r>
            <w:proofErr w:type="spellEnd"/>
            <w:r>
              <w:t>) με υλικό προστασίας για τη διασύνδεση με το δίκτυο ηλεκτρικής ενέργειας (μονοφασικό ή τριφασικό)</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D97E4F"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CF84D9"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28651B" w14:textId="77777777" w:rsidR="002977E8" w:rsidRDefault="002977E8">
            <w:pPr>
              <w:spacing w:after="0"/>
            </w:pPr>
          </w:p>
        </w:tc>
      </w:tr>
      <w:tr w:rsidR="002977E8" w14:paraId="15FC3E1A"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8712E6" w14:textId="77777777" w:rsidR="002977E8" w:rsidRDefault="00000000">
            <w:pPr>
              <w:spacing w:after="0"/>
              <w:jc w:val="center"/>
              <w:rPr>
                <w:b/>
                <w:bCs/>
                <w:i/>
                <w:iCs/>
              </w:rPr>
            </w:pPr>
            <w:r>
              <w:rPr>
                <w:b/>
                <w:bCs/>
                <w:i/>
                <w:iCs/>
              </w:rPr>
              <w:t>20</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B66D3D3" w14:textId="77777777" w:rsidR="006D05AF" w:rsidRDefault="006D05AF">
            <w:pPr>
              <w:spacing w:after="0"/>
            </w:pPr>
          </w:p>
          <w:p w14:paraId="35ECB4BB" w14:textId="165A9084" w:rsidR="002977E8" w:rsidRDefault="00000000">
            <w:pPr>
              <w:spacing w:after="0"/>
            </w:pPr>
            <w:r>
              <w:t xml:space="preserve">Το κάθε μηχάνημα ανακύκλωσης του </w:t>
            </w:r>
            <w:proofErr w:type="spellStart"/>
            <w:r>
              <w:t>Πολυκέντρου</w:t>
            </w:r>
            <w:proofErr w:type="spellEnd"/>
            <w:r>
              <w:t xml:space="preserve"> θα φέρει σήμανση CE.</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4DE4618"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33FC0E"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599028" w14:textId="77777777" w:rsidR="002977E8" w:rsidRDefault="002977E8">
            <w:pPr>
              <w:spacing w:after="0"/>
            </w:pPr>
          </w:p>
        </w:tc>
      </w:tr>
      <w:tr w:rsidR="002977E8" w14:paraId="4D1CD651"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E730AF" w14:textId="77777777" w:rsidR="002977E8" w:rsidRDefault="00000000">
            <w:pPr>
              <w:spacing w:after="0"/>
              <w:jc w:val="center"/>
              <w:rPr>
                <w:b/>
                <w:bCs/>
                <w:i/>
                <w:iCs/>
              </w:rPr>
            </w:pPr>
            <w:r>
              <w:rPr>
                <w:b/>
                <w:bCs/>
                <w:i/>
                <w:iCs/>
              </w:rPr>
              <w:t>21</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84356C2" w14:textId="77777777" w:rsidR="002977E8" w:rsidRDefault="00000000">
            <w:pPr>
              <w:spacing w:after="0"/>
            </w:pPr>
            <w:r>
              <w:t>Πιστοποίηση διασφάλισης ποιότητας (</w:t>
            </w:r>
            <w:r>
              <w:rPr>
                <w:lang w:val="en-US"/>
              </w:rPr>
              <w:t>ISO</w:t>
            </w:r>
            <w:r>
              <w:t xml:space="preserve"> 9001:2015 ή ισοδύναμο) για το σχεδιασμό-παραγωγή προϊόντων (αφορά τον κατασκευαστή).</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A641842"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D037644"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8DCE3D2" w14:textId="77777777" w:rsidR="002977E8" w:rsidRDefault="002977E8">
            <w:pPr>
              <w:spacing w:after="0"/>
            </w:pPr>
          </w:p>
        </w:tc>
      </w:tr>
      <w:tr w:rsidR="002977E8" w14:paraId="47DCDA8F"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656B1F9" w14:textId="77777777" w:rsidR="002977E8" w:rsidRDefault="00000000">
            <w:pPr>
              <w:spacing w:after="0"/>
              <w:jc w:val="center"/>
              <w:rPr>
                <w:b/>
                <w:bCs/>
                <w:i/>
                <w:iCs/>
              </w:rPr>
            </w:pPr>
            <w:r>
              <w:rPr>
                <w:b/>
                <w:bCs/>
                <w:i/>
                <w:iCs/>
              </w:rPr>
              <w:t>22</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6F6816A" w14:textId="77777777" w:rsidR="002977E8" w:rsidRDefault="00000000">
            <w:pPr>
              <w:spacing w:after="0"/>
            </w:pPr>
            <w:r>
              <w:t>Πιστοποίηση διασφάλισης ποιότητας (ISO 9001:2015 ή ισοδύναμο) για την παροχή υπηρεσιών υποστήριξης – συντήρησης.</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CF7ED2"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412ACA"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133B75" w14:textId="77777777" w:rsidR="002977E8" w:rsidRDefault="002977E8">
            <w:pPr>
              <w:spacing w:after="0"/>
            </w:pPr>
          </w:p>
        </w:tc>
      </w:tr>
      <w:tr w:rsidR="002977E8" w14:paraId="202B63D8"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EB97EBB" w14:textId="77777777" w:rsidR="002977E8" w:rsidRDefault="00000000">
            <w:pPr>
              <w:spacing w:after="0"/>
              <w:jc w:val="center"/>
              <w:rPr>
                <w:b/>
                <w:bCs/>
                <w:i/>
                <w:iCs/>
              </w:rPr>
            </w:pPr>
            <w:r>
              <w:rPr>
                <w:b/>
                <w:bCs/>
                <w:i/>
                <w:iCs/>
              </w:rPr>
              <w:lastRenderedPageBreak/>
              <w:t>23</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D3FC385" w14:textId="77777777" w:rsidR="002977E8" w:rsidRDefault="00000000">
            <w:pPr>
              <w:spacing w:after="0"/>
            </w:pPr>
            <w:r>
              <w:t>Πιστοποίηση περιβαλλοντικής διαχείρισης (ISO 14001:2015 ή ισοδύναμο) για την παροχή υπηρεσιών υποστήριξης – συντήρησης.</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3C9B43"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A1D19ED"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7888F7" w14:textId="77777777" w:rsidR="002977E8" w:rsidRDefault="002977E8">
            <w:pPr>
              <w:spacing w:after="0"/>
            </w:pPr>
          </w:p>
        </w:tc>
      </w:tr>
      <w:tr w:rsidR="002977E8" w14:paraId="7A92F4E2"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BA20F8A" w14:textId="77777777" w:rsidR="002977E8" w:rsidRDefault="00000000">
            <w:pPr>
              <w:spacing w:after="0"/>
              <w:jc w:val="center"/>
              <w:rPr>
                <w:b/>
                <w:bCs/>
                <w:i/>
                <w:iCs/>
              </w:rPr>
            </w:pPr>
            <w:r>
              <w:rPr>
                <w:b/>
                <w:bCs/>
                <w:i/>
                <w:iCs/>
              </w:rPr>
              <w:t>24</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33AF234" w14:textId="77777777" w:rsidR="002977E8" w:rsidRDefault="00000000">
            <w:pPr>
              <w:spacing w:after="0"/>
            </w:pPr>
            <w:r>
              <w:t xml:space="preserve">Τα προσφερόμενα </w:t>
            </w:r>
            <w:proofErr w:type="spellStart"/>
            <w:r>
              <w:t>πολυκέντρα</w:t>
            </w:r>
            <w:proofErr w:type="spellEnd"/>
            <w:r>
              <w:t xml:space="preserve"> ανακύκλωσης – αυτόματα μηχανήματα ανακύκλωσης, θα είναι καινούριας - πρόσφατης κατασκευής, σε κάθε περίπτωση όχι πέρα του έτους από την υπογραφή της σχετικής σύμβασης</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76AA343"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060A2B"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FC102BE" w14:textId="77777777" w:rsidR="002977E8" w:rsidRDefault="002977E8">
            <w:pPr>
              <w:spacing w:after="0"/>
            </w:pPr>
          </w:p>
        </w:tc>
      </w:tr>
      <w:tr w:rsidR="002977E8" w14:paraId="3CDA781B"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C97557" w14:textId="77777777" w:rsidR="002977E8" w:rsidRDefault="00000000">
            <w:pPr>
              <w:spacing w:after="0"/>
              <w:jc w:val="center"/>
              <w:rPr>
                <w:b/>
                <w:bCs/>
                <w:i/>
                <w:iCs/>
              </w:rPr>
            </w:pPr>
            <w:r>
              <w:rPr>
                <w:b/>
                <w:bCs/>
                <w:i/>
                <w:iCs/>
              </w:rPr>
              <w:t>25</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5A77288" w14:textId="77777777" w:rsidR="002977E8" w:rsidRDefault="00000000">
            <w:pPr>
              <w:spacing w:after="0"/>
            </w:pPr>
            <w:r>
              <w:t xml:space="preserve">Ανάληψη υποχρέωσης για την συντήρηση (προληπτική ή προβλεπτική περιλαμβανομένων των απαιτούμενων υλικών) και αποκατάσταση βλαβών του εκάστοτε </w:t>
            </w:r>
            <w:proofErr w:type="spellStart"/>
            <w:r>
              <w:t>πολυκέντρου</w:t>
            </w:r>
            <w:proofErr w:type="spellEnd"/>
            <w:r>
              <w:t xml:space="preserve">, άνευ κόστους για το Δήμο Θεσσαλονίκης, για χρονικό διάστημα τουλάχιστο τεσσάρων ετών (ελάχιστος χρόνος εγγύησης) από την οριστική παραλαβή και τη θέση σε λειτουργία εκάστοτε κέντρου. </w:t>
            </w:r>
          </w:p>
          <w:p w14:paraId="73E1A2D8" w14:textId="77777777" w:rsidR="002977E8" w:rsidRDefault="00000000">
            <w:pPr>
              <w:spacing w:after="0"/>
            </w:pPr>
            <w:r>
              <w:t>Σε περίπτωση βλάβης, οφείλει εντός 2 εργάσιμων ημερών από την έγγραφη ή τηλεφωνική ειδοποίησή του, να μεταβεί επί τόπου για τη διαπίστωση του προβλήματος και την άμεση αποκατάσταση αυτού. Σε περίπτωση που απαιτείται η αντικατάσταση κάποιου ανταλλακτικού, τότε o χρόνος αποκατάστασης επεκτείνεται κατά δύο ακόμη εργάσιμες ημέρες</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23137B3"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3291FD"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0176716" w14:textId="77777777" w:rsidR="002977E8" w:rsidRDefault="002977E8">
            <w:pPr>
              <w:spacing w:after="0"/>
            </w:pPr>
          </w:p>
        </w:tc>
      </w:tr>
      <w:tr w:rsidR="002977E8" w14:paraId="04C18A14"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43E77BB" w14:textId="77777777" w:rsidR="002977E8" w:rsidRDefault="00000000">
            <w:pPr>
              <w:spacing w:after="0"/>
              <w:jc w:val="center"/>
              <w:rPr>
                <w:b/>
                <w:bCs/>
                <w:i/>
                <w:iCs/>
              </w:rPr>
            </w:pPr>
            <w:r>
              <w:rPr>
                <w:b/>
                <w:bCs/>
                <w:i/>
                <w:iCs/>
              </w:rPr>
              <w:t>26</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B840532" w14:textId="77777777" w:rsidR="002977E8" w:rsidRDefault="00000000">
            <w:pPr>
              <w:spacing w:after="0"/>
              <w:rPr>
                <w:color w:val="auto"/>
              </w:rPr>
            </w:pPr>
            <w:r>
              <w:rPr>
                <w:color w:val="auto"/>
              </w:rPr>
              <w:t>Αποδοχή υποχρέωσης παροχής ανταλλακτικών για δέκα τουλάχιστον έτη και χρόνου παράδοσης των ανταλλακτικών μικρότερο των 10 ημερών.</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2C814D8"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D49FD3"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043712" w14:textId="77777777" w:rsidR="002977E8" w:rsidRDefault="002977E8">
            <w:pPr>
              <w:spacing w:after="0"/>
            </w:pPr>
          </w:p>
        </w:tc>
      </w:tr>
      <w:tr w:rsidR="002977E8" w14:paraId="51081648"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FDAE142" w14:textId="77777777" w:rsidR="002977E8" w:rsidRDefault="00000000">
            <w:pPr>
              <w:spacing w:after="0"/>
              <w:jc w:val="center"/>
              <w:rPr>
                <w:b/>
                <w:bCs/>
                <w:i/>
                <w:iCs/>
              </w:rPr>
            </w:pPr>
            <w:r>
              <w:rPr>
                <w:b/>
                <w:bCs/>
                <w:i/>
                <w:iCs/>
              </w:rPr>
              <w:t>27</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005919" w14:textId="77777777" w:rsidR="002977E8" w:rsidRDefault="00000000">
            <w:pPr>
              <w:spacing w:after="0"/>
            </w:pPr>
            <w:r>
              <w:rPr>
                <w:color w:val="auto"/>
              </w:rPr>
              <w:t xml:space="preserve">Δήλωση του εργοστασίου κατασκευής ή </w:t>
            </w:r>
            <w:r>
              <w:t xml:space="preserve"> </w:t>
            </w:r>
            <w:r>
              <w:rPr>
                <w:color w:val="auto"/>
              </w:rPr>
              <w:t xml:space="preserve">του επίσημου αντιπροσώπου στην Ελλάδα στο οποίο θα κατασκευαστούν επιμέρους τμήματα ή το σύνολο του </w:t>
            </w:r>
            <w:proofErr w:type="spellStart"/>
            <w:r>
              <w:rPr>
                <w:color w:val="auto"/>
              </w:rPr>
              <w:t>Πολυκέντρου</w:t>
            </w:r>
            <w:proofErr w:type="spellEnd"/>
            <w:r>
              <w:rPr>
                <w:color w:val="auto"/>
              </w:rPr>
              <w:t>, στην οποία να δηλώνει ότι: α) αποδέχεται την εκτέλεση της συγκεκριμένης προμήθειας σε περίπτωση κατακύρωσης της προμήθειας στο διαγωνιζόμενο, β) θα καλύψει τον Φορέα με ανταλλακτικά τουλάχιστον επί δέκα (10) έτη, ακόμη και απευθείας αν αυτό κριθεί σκόπιμο.</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766EFCC"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30A252D"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740EE70" w14:textId="77777777" w:rsidR="002977E8" w:rsidRDefault="002977E8">
            <w:pPr>
              <w:spacing w:after="0"/>
            </w:pPr>
          </w:p>
        </w:tc>
      </w:tr>
      <w:tr w:rsidR="002977E8" w14:paraId="50283EF6"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E4B9F99" w14:textId="77777777" w:rsidR="002977E8" w:rsidRDefault="00000000">
            <w:pPr>
              <w:spacing w:after="0"/>
              <w:jc w:val="center"/>
              <w:rPr>
                <w:b/>
                <w:bCs/>
                <w:i/>
                <w:iCs/>
              </w:rPr>
            </w:pPr>
            <w:r>
              <w:rPr>
                <w:b/>
                <w:bCs/>
                <w:i/>
                <w:iCs/>
              </w:rPr>
              <w:t>28</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E1F6B0B" w14:textId="77777777" w:rsidR="006D05AF" w:rsidRDefault="006D05AF">
            <w:pPr>
              <w:spacing w:after="0"/>
            </w:pPr>
          </w:p>
          <w:p w14:paraId="76368972" w14:textId="5D4D6B6F" w:rsidR="002977E8" w:rsidRDefault="00000000">
            <w:pPr>
              <w:spacing w:after="0"/>
            </w:pPr>
            <w:r>
              <w:t>Αποδοχή διάρκεια ισχύος προσφοράς 12 μηνών.</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43C497"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D9972B"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D891CF2" w14:textId="77777777" w:rsidR="002977E8" w:rsidRDefault="002977E8">
            <w:pPr>
              <w:spacing w:after="0"/>
            </w:pPr>
          </w:p>
        </w:tc>
      </w:tr>
      <w:tr w:rsidR="002977E8" w14:paraId="1D47F5DB"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045569" w14:textId="1F579463" w:rsidR="002977E8" w:rsidRDefault="00000000">
            <w:pPr>
              <w:spacing w:after="0"/>
              <w:jc w:val="center"/>
              <w:rPr>
                <w:b/>
                <w:bCs/>
                <w:i/>
                <w:iCs/>
              </w:rPr>
            </w:pPr>
            <w:r>
              <w:rPr>
                <w:b/>
                <w:bCs/>
                <w:i/>
                <w:iCs/>
              </w:rPr>
              <w:t>29</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D34879B" w14:textId="77777777" w:rsidR="006D05AF" w:rsidRDefault="006D05AF">
            <w:pPr>
              <w:spacing w:after="0"/>
            </w:pPr>
          </w:p>
          <w:p w14:paraId="7BAAAA1F" w14:textId="77777777" w:rsidR="002977E8" w:rsidRDefault="00000000">
            <w:pPr>
              <w:spacing w:after="0"/>
            </w:pPr>
            <w:r>
              <w:t>Αποδοχή διάρκειας σύμβασης 18 μηνών.</w:t>
            </w:r>
          </w:p>
          <w:p w14:paraId="484D6227" w14:textId="2F8AD218" w:rsidR="006D05AF" w:rsidRDefault="006D05AF">
            <w:pPr>
              <w:spacing w:after="0"/>
            </w:pP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E8DC351" w14:textId="77777777" w:rsidR="006D05AF" w:rsidRDefault="006D05AF">
            <w:pPr>
              <w:spacing w:after="0"/>
              <w:jc w:val="center"/>
              <w:rPr>
                <w:color w:val="auto"/>
              </w:rPr>
            </w:pPr>
          </w:p>
          <w:p w14:paraId="5BBB572C" w14:textId="53430E70"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D0C0721"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17A5628" w14:textId="77777777" w:rsidR="002977E8" w:rsidRDefault="002977E8">
            <w:pPr>
              <w:spacing w:after="0"/>
            </w:pPr>
          </w:p>
        </w:tc>
      </w:tr>
      <w:tr w:rsidR="002977E8" w14:paraId="4783F4B1"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CAF844F" w14:textId="77777777" w:rsidR="002977E8" w:rsidRDefault="00000000">
            <w:pPr>
              <w:spacing w:after="0"/>
              <w:jc w:val="center"/>
              <w:rPr>
                <w:b/>
                <w:bCs/>
                <w:i/>
                <w:iCs/>
              </w:rPr>
            </w:pPr>
            <w:r>
              <w:rPr>
                <w:b/>
                <w:bCs/>
                <w:i/>
                <w:iCs/>
              </w:rPr>
              <w:t>30</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473BBEB" w14:textId="77777777" w:rsidR="002977E8" w:rsidRDefault="00000000">
            <w:pPr>
              <w:spacing w:after="0"/>
            </w:pPr>
            <w:r>
              <w:t xml:space="preserve">Χρόνος παράδοσης του συνόλου των 48 </w:t>
            </w:r>
            <w:proofErr w:type="spellStart"/>
            <w:r>
              <w:t>πολυκέντρων</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6FCEB89" w14:textId="77777777" w:rsidR="002977E8" w:rsidRDefault="00000000">
            <w:pPr>
              <w:spacing w:after="0"/>
              <w:jc w:val="center"/>
              <w:rPr>
                <w:color w:val="auto"/>
              </w:rPr>
            </w:pPr>
            <w:r>
              <w:rPr>
                <w:color w:val="auto"/>
              </w:rPr>
              <w:t>&lt;=7 μήνες</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E48CFC"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016B72" w14:textId="77777777" w:rsidR="002977E8" w:rsidRDefault="002977E8">
            <w:pPr>
              <w:spacing w:after="0"/>
            </w:pPr>
          </w:p>
        </w:tc>
      </w:tr>
      <w:tr w:rsidR="002977E8" w14:paraId="45E775B8"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C4F02F1" w14:textId="77777777" w:rsidR="002977E8" w:rsidRDefault="00000000">
            <w:pPr>
              <w:spacing w:after="0"/>
              <w:jc w:val="center"/>
              <w:rPr>
                <w:b/>
                <w:bCs/>
                <w:i/>
                <w:iCs/>
              </w:rPr>
            </w:pPr>
            <w:r>
              <w:rPr>
                <w:b/>
                <w:bCs/>
                <w:i/>
                <w:iCs/>
              </w:rPr>
              <w:lastRenderedPageBreak/>
              <w:t>31</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30ACD1" w14:textId="77777777" w:rsidR="002977E8" w:rsidRDefault="00000000">
            <w:pPr>
              <w:spacing w:after="0"/>
            </w:pPr>
            <w:r>
              <w:t xml:space="preserve">Ανάληψη υποχρέωσης εκπαίδευσης προσωπικού σύμφωνα με την άρθρο </w:t>
            </w:r>
            <w:r>
              <w:rPr>
                <w:i/>
                <w:iCs/>
              </w:rPr>
              <w:t>6. Εκπαίδευση Προσωπικού</w:t>
            </w:r>
            <w:r>
              <w:t xml:space="preserve"> της παρούσης</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C62C2E3"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3DB6D22"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3F6960F" w14:textId="77777777" w:rsidR="002977E8" w:rsidRDefault="002977E8">
            <w:pPr>
              <w:spacing w:after="0"/>
            </w:pPr>
          </w:p>
        </w:tc>
      </w:tr>
      <w:tr w:rsidR="002977E8" w14:paraId="3130CEED" w14:textId="77777777">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9BFD7E" w14:textId="77777777" w:rsidR="002977E8" w:rsidRDefault="002977E8">
            <w:pPr>
              <w:spacing w:after="0"/>
              <w:jc w:val="center"/>
              <w:rPr>
                <w:b/>
                <w:bCs/>
                <w:i/>
                <w:iCs/>
              </w:rPr>
            </w:pPr>
          </w:p>
          <w:p w14:paraId="0A58A8F6" w14:textId="77777777" w:rsidR="002977E8" w:rsidRDefault="00000000">
            <w:pPr>
              <w:spacing w:after="0"/>
              <w:jc w:val="center"/>
              <w:rPr>
                <w:b/>
                <w:bCs/>
                <w:i/>
                <w:iCs/>
              </w:rPr>
            </w:pPr>
            <w:r>
              <w:rPr>
                <w:b/>
                <w:bCs/>
                <w:i/>
                <w:iCs/>
              </w:rPr>
              <w:t>32</w:t>
            </w:r>
          </w:p>
        </w:tc>
        <w:tc>
          <w:tcPr>
            <w:tcW w:w="481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656A536" w14:textId="77777777" w:rsidR="002977E8" w:rsidRDefault="00000000">
            <w:pPr>
              <w:spacing w:after="0"/>
            </w:pPr>
            <w:r>
              <w:t>Ανεπιφύλακτη αποδοχή όλων των όρων της παρούσης.</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50CB2CD" w14:textId="77777777" w:rsidR="002977E8" w:rsidRDefault="00000000">
            <w:pPr>
              <w:spacing w:after="0"/>
              <w:jc w:val="center"/>
              <w:rPr>
                <w:color w:val="auto"/>
              </w:rPr>
            </w:pPr>
            <w:r>
              <w:rPr>
                <w:color w:val="auto"/>
              </w:rPr>
              <w:t>ΝΑΙ</w:t>
            </w:r>
          </w:p>
        </w:tc>
        <w:tc>
          <w:tcPr>
            <w:tcW w:w="18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334466E" w14:textId="77777777" w:rsidR="002977E8" w:rsidRDefault="002977E8">
            <w:pPr>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77EA946" w14:textId="77777777" w:rsidR="002977E8" w:rsidRDefault="002977E8">
            <w:pPr>
              <w:spacing w:after="0"/>
            </w:pPr>
          </w:p>
        </w:tc>
      </w:tr>
    </w:tbl>
    <w:p w14:paraId="387F3489" w14:textId="432A3B75" w:rsidR="002977E8" w:rsidRDefault="002977E8"/>
    <w:p w14:paraId="4637DED4" w14:textId="686C575C" w:rsidR="006D05AF" w:rsidRDefault="006D05AF"/>
    <w:p w14:paraId="4A77E353" w14:textId="0168D035" w:rsidR="006D05AF" w:rsidRDefault="006D05AF" w:rsidP="006D05AF">
      <w:pPr>
        <w:spacing w:after="0"/>
        <w:ind w:left="5760" w:firstLine="720"/>
        <w:jc w:val="left"/>
      </w:pPr>
      <w:r>
        <w:t xml:space="preserve">     </w:t>
      </w:r>
      <w:r>
        <w:t>Θεσσαλονίκη ……/……../ 2022</w:t>
      </w:r>
    </w:p>
    <w:p w14:paraId="7458C556" w14:textId="77777777" w:rsidR="006D05AF" w:rsidRDefault="006D05AF" w:rsidP="006D05AF">
      <w:pPr>
        <w:spacing w:after="0"/>
        <w:jc w:val="left"/>
      </w:pPr>
    </w:p>
    <w:p w14:paraId="0C975A73" w14:textId="77777777" w:rsidR="006D05AF" w:rsidRDefault="006D05AF" w:rsidP="006D05AF">
      <w:pPr>
        <w:spacing w:after="0"/>
        <w:jc w:val="left"/>
      </w:pPr>
    </w:p>
    <w:p w14:paraId="257597F7" w14:textId="073B1102" w:rsidR="006D05AF" w:rsidRDefault="006D05AF" w:rsidP="006D05AF">
      <w:pPr>
        <w:spacing w:after="0"/>
        <w:ind w:left="6480" w:firstLine="720"/>
        <w:jc w:val="left"/>
      </w:pPr>
      <w:r>
        <w:t xml:space="preserve">     </w:t>
      </w:r>
      <w:r>
        <w:t>Ο  ΠΡΟΣΦΕΡΩΝ</w:t>
      </w:r>
    </w:p>
    <w:p w14:paraId="4BE5943A" w14:textId="77777777" w:rsidR="006D05AF" w:rsidRDefault="006D05AF" w:rsidP="006D05AF">
      <w:pPr>
        <w:spacing w:after="0"/>
        <w:ind w:left="6480" w:firstLine="720"/>
        <w:jc w:val="left"/>
      </w:pPr>
    </w:p>
    <w:p w14:paraId="24EA5EFE" w14:textId="77777777" w:rsidR="006D05AF" w:rsidRDefault="006D05AF" w:rsidP="006D05AF">
      <w:pPr>
        <w:spacing w:after="0"/>
        <w:ind w:left="6480" w:firstLine="720"/>
        <w:jc w:val="left"/>
      </w:pPr>
    </w:p>
    <w:p w14:paraId="2DED1A48" w14:textId="77777777" w:rsidR="006D05AF" w:rsidRDefault="006D05AF" w:rsidP="006D05AF">
      <w:pPr>
        <w:spacing w:after="0"/>
        <w:ind w:left="6480" w:firstLine="720"/>
        <w:jc w:val="left"/>
      </w:pPr>
    </w:p>
    <w:p w14:paraId="743481E1" w14:textId="77777777" w:rsidR="006D05AF" w:rsidRDefault="006D05AF" w:rsidP="006D05AF">
      <w:pPr>
        <w:spacing w:after="0"/>
        <w:ind w:left="6480" w:firstLine="720"/>
        <w:jc w:val="left"/>
      </w:pPr>
    </w:p>
    <w:p w14:paraId="2B539C53" w14:textId="7C1607C1" w:rsidR="006D05AF" w:rsidRDefault="006D05AF" w:rsidP="006D05AF">
      <w:pPr>
        <w:spacing w:after="0"/>
        <w:ind w:left="6480" w:firstLine="720"/>
        <w:jc w:val="left"/>
      </w:pPr>
      <w:r>
        <w:t>(Σφραγίδα – Υπογραφή)</w:t>
      </w:r>
    </w:p>
    <w:p w14:paraId="41A0DB78" w14:textId="77777777" w:rsidR="006D05AF" w:rsidRDefault="006D05AF" w:rsidP="006D05AF">
      <w:pPr>
        <w:spacing w:after="0"/>
        <w:jc w:val="left"/>
      </w:pPr>
    </w:p>
    <w:p w14:paraId="1F60574A" w14:textId="4E0176D1" w:rsidR="006D05AF" w:rsidRDefault="006D05AF"/>
    <w:p w14:paraId="29380DF6" w14:textId="77777777" w:rsidR="006D05AF" w:rsidRDefault="006D05AF"/>
    <w:sectPr w:rsidR="006D05AF">
      <w:type w:val="continuous"/>
      <w:pgSz w:w="11906" w:h="16838"/>
      <w:pgMar w:top="851" w:right="1134" w:bottom="14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roman"/>
    <w:pitch w:val="variable"/>
  </w:font>
  <w:font w:name="Liberation Sans">
    <w:altName w:val="Arial"/>
    <w:panose1 w:val="020B0604020202020204"/>
    <w:charset w:val="A1"/>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B0F53"/>
    <w:multiLevelType w:val="multilevel"/>
    <w:tmpl w:val="393C42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39A4F5B"/>
    <w:multiLevelType w:val="multilevel"/>
    <w:tmpl w:val="44D4D030"/>
    <w:lvl w:ilvl="0">
      <w:start w:val="1"/>
      <w:numFmt w:val="decimal"/>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52600544">
    <w:abstractNumId w:val="1"/>
  </w:num>
  <w:num w:numId="2" w16cid:durableId="105932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E8"/>
    <w:rsid w:val="002977E8"/>
    <w:rsid w:val="006D05AF"/>
    <w:rsid w:val="00C42A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17AB"/>
  <w15:docId w15:val="{EF8AEDD2-9ACA-479F-A8A4-24985E64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val="0"/>
      <w:spacing w:after="240"/>
      <w:jc w:val="both"/>
    </w:pPr>
    <w:rPr>
      <w:rFonts w:ascii="Calibri" w:hAnsi="Calibri" w:cs="Tahoma"/>
      <w:color w:val="000000"/>
      <w:sz w:val="24"/>
      <w:szCs w:val="24"/>
    </w:rPr>
  </w:style>
  <w:style w:type="paragraph" w:styleId="1">
    <w:name w:val="heading 1"/>
    <w:basedOn w:val="a"/>
    <w:next w:val="a"/>
    <w:uiPriority w:val="9"/>
    <w:qFormat/>
    <w:pPr>
      <w:keepNext/>
      <w:numPr>
        <w:numId w:val="1"/>
      </w:numPr>
      <w:spacing w:after="0"/>
      <w:outlineLvl w:val="0"/>
    </w:pPr>
    <w:rPr>
      <w:rFonts w:ascii="Arial" w:hAnsi="Arial" w:cs="Times New Roman"/>
      <w:b/>
      <w:i/>
      <w:iCs/>
      <w:sz w:val="20"/>
      <w:szCs w:val="22"/>
      <w:u w:val="single"/>
    </w:rPr>
  </w:style>
  <w:style w:type="paragraph" w:styleId="2">
    <w:name w:val="heading 2"/>
    <w:basedOn w:val="a"/>
    <w:next w:val="a"/>
    <w:uiPriority w:val="9"/>
    <w:semiHidden/>
    <w:unhideWhenUsed/>
    <w:qFormat/>
    <w:pPr>
      <w:keepNext/>
      <w:spacing w:before="240" w:after="60"/>
      <w:outlineLvl w:val="1"/>
    </w:pPr>
    <w:rPr>
      <w:rFonts w:ascii="Calibri Light" w:hAnsi="Calibri Light" w:cs="Times New Roman"/>
      <w:b/>
      <w:bCs/>
      <w:i/>
      <w:iCs/>
      <w:sz w:val="28"/>
      <w:szCs w:val="28"/>
    </w:rPr>
  </w:style>
  <w:style w:type="paragraph" w:styleId="4">
    <w:name w:val="heading 4"/>
    <w:basedOn w:val="a"/>
    <w:next w:val="a"/>
    <w:uiPriority w:val="9"/>
    <w:semiHidden/>
    <w:unhideWhenUsed/>
    <w:qFormat/>
    <w:pPr>
      <w:keepNext/>
      <w:spacing w:before="240" w:after="60"/>
      <w:outlineLvl w:val="3"/>
    </w:pPr>
    <w:rPr>
      <w:rFonts w:ascii="Times New Roman" w:hAnsi="Times New Roman" w:cs="Times New Roman"/>
      <w:b/>
      <w:bCs/>
      <w:color w:val="auto"/>
      <w:sz w:val="28"/>
      <w:szCs w:val="28"/>
    </w:rPr>
  </w:style>
  <w:style w:type="paragraph" w:styleId="7">
    <w:name w:val="heading 7"/>
    <w:basedOn w:val="a"/>
    <w:next w:val="a"/>
    <w:qFormat/>
    <w:pPr>
      <w:spacing w:before="240" w:after="60"/>
      <w:outlineLvl w:val="6"/>
    </w:pPr>
    <w:rPr>
      <w:rFonts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qFormat/>
    <w:rPr>
      <w:rFonts w:ascii="Arial" w:hAnsi="Arial"/>
      <w:b/>
      <w:i/>
      <w:iCs/>
      <w:color w:val="000000"/>
      <w:szCs w:val="22"/>
      <w:u w:val="single"/>
    </w:rPr>
  </w:style>
  <w:style w:type="character" w:customStyle="1" w:styleId="4Char">
    <w:name w:val="Επικεφαλίδα 4 Char"/>
    <w:qFormat/>
    <w:rPr>
      <w:b/>
      <w:bCs/>
      <w:sz w:val="28"/>
      <w:szCs w:val="28"/>
      <w:lang w:val="el-GR" w:eastAsia="el-GR" w:bidi="ar-SA"/>
    </w:rPr>
  </w:style>
  <w:style w:type="character" w:customStyle="1" w:styleId="3Char">
    <w:name w:val="Σώμα κείμενου 3 Char"/>
    <w:qFormat/>
    <w:rPr>
      <w:b/>
      <w:sz w:val="24"/>
      <w:u w:val="single"/>
      <w:lang w:val="el-GR" w:eastAsia="el-GR" w:bidi="ar-SA"/>
    </w:rPr>
  </w:style>
  <w:style w:type="character" w:customStyle="1" w:styleId="Char">
    <w:name w:val="Σώμα κειμένου Char"/>
    <w:qFormat/>
    <w:rPr>
      <w:sz w:val="24"/>
    </w:rPr>
  </w:style>
  <w:style w:type="character" w:styleId="a3">
    <w:name w:val="annotation reference"/>
    <w:qFormat/>
    <w:rPr>
      <w:sz w:val="16"/>
      <w:szCs w:val="16"/>
    </w:rPr>
  </w:style>
  <w:style w:type="character" w:customStyle="1" w:styleId="Char0">
    <w:name w:val="Κείμενο σχολίου Char"/>
    <w:qFormat/>
    <w:rPr>
      <w:lang w:val="el-GR" w:eastAsia="el-GR" w:bidi="ar-SA"/>
    </w:rPr>
  </w:style>
  <w:style w:type="character" w:customStyle="1" w:styleId="Char1">
    <w:name w:val="Κείμενο πλαισίου Char"/>
    <w:qFormat/>
    <w:rPr>
      <w:rFonts w:ascii="Tahoma" w:hAnsi="Tahoma" w:cs="Tahoma"/>
      <w:sz w:val="16"/>
      <w:szCs w:val="16"/>
      <w:lang w:val="el-GR" w:eastAsia="el-GR" w:bidi="ar-SA"/>
    </w:rPr>
  </w:style>
  <w:style w:type="character" w:styleId="a4">
    <w:name w:val="Strong"/>
    <w:qFormat/>
    <w:rPr>
      <w:b/>
      <w:bCs/>
    </w:rPr>
  </w:style>
  <w:style w:type="character" w:styleId="a5">
    <w:name w:val="page number"/>
    <w:basedOn w:val="a0"/>
    <w:qFormat/>
  </w:style>
  <w:style w:type="character" w:customStyle="1" w:styleId="CharChar7">
    <w:name w:val="Char Char7"/>
    <w:qFormat/>
    <w:rPr>
      <w:rFonts w:ascii="Arial" w:eastAsia="Times New Roman" w:hAnsi="Arial" w:cs="Arial"/>
      <w:b/>
      <w:bCs/>
      <w:kern w:val="2"/>
      <w:sz w:val="32"/>
      <w:szCs w:val="32"/>
      <w:lang w:eastAsia="el-GR"/>
    </w:rPr>
  </w:style>
  <w:style w:type="character" w:customStyle="1" w:styleId="31">
    <w:name w:val="Σώμα κειμένου (31)_"/>
    <w:qFormat/>
    <w:rPr>
      <w:sz w:val="22"/>
      <w:szCs w:val="22"/>
      <w:shd w:val="clear" w:color="auto" w:fill="FFFFFF"/>
    </w:rPr>
  </w:style>
  <w:style w:type="character" w:customStyle="1" w:styleId="317">
    <w:name w:val="Σώμα κειμένου (31) + Έντονη γραφή7"/>
    <w:qFormat/>
    <w:rPr>
      <w:rFonts w:ascii="Times New Roman" w:hAnsi="Times New Roman" w:cs="Times New Roman"/>
      <w:b/>
      <w:bCs/>
      <w:spacing w:val="-8"/>
      <w:sz w:val="22"/>
      <w:szCs w:val="22"/>
      <w:lang w:bidi="ar-SA"/>
    </w:rPr>
  </w:style>
  <w:style w:type="character" w:customStyle="1" w:styleId="a6">
    <w:name w:val="Σύνδεσμος διαδικτύου"/>
    <w:rPr>
      <w:color w:val="0000FF"/>
      <w:u w:val="single"/>
    </w:rPr>
  </w:style>
  <w:style w:type="character" w:customStyle="1" w:styleId="7Char">
    <w:name w:val="Επικεφαλίδα 7 Char"/>
    <w:qFormat/>
    <w:rPr>
      <w:rFonts w:ascii="Calibri" w:eastAsia="Times New Roman" w:hAnsi="Calibri" w:cs="Times New Roman"/>
      <w:sz w:val="24"/>
      <w:szCs w:val="24"/>
    </w:rPr>
  </w:style>
  <w:style w:type="character" w:customStyle="1" w:styleId="20">
    <w:name w:val="Σώμα κειμένου (2)_"/>
    <w:qFormat/>
    <w:rPr>
      <w:rFonts w:ascii="Arial" w:eastAsia="Arial" w:hAnsi="Arial" w:cs="Arial"/>
      <w:sz w:val="21"/>
      <w:szCs w:val="21"/>
      <w:shd w:val="clear" w:color="auto" w:fill="FFFFFF"/>
    </w:rPr>
  </w:style>
  <w:style w:type="character" w:customStyle="1" w:styleId="3">
    <w:name w:val="Επικεφαλίδα #3_"/>
    <w:qFormat/>
    <w:rPr>
      <w:rFonts w:ascii="Arial" w:eastAsia="Arial" w:hAnsi="Arial" w:cs="Arial"/>
      <w:b/>
      <w:bCs/>
      <w:sz w:val="19"/>
      <w:szCs w:val="19"/>
      <w:shd w:val="clear" w:color="auto" w:fill="FFFFFF"/>
    </w:rPr>
  </w:style>
  <w:style w:type="character" w:customStyle="1" w:styleId="6">
    <w:name w:val="Σώμα κειμένου (6)_"/>
    <w:qFormat/>
    <w:rPr>
      <w:rFonts w:ascii="Century Gothic" w:eastAsia="Century Gothic" w:hAnsi="Century Gothic" w:cs="Century Gothic"/>
      <w:b/>
      <w:bCs/>
      <w:sz w:val="17"/>
      <w:szCs w:val="17"/>
      <w:shd w:val="clear" w:color="auto" w:fill="FFFFFF"/>
    </w:rPr>
  </w:style>
  <w:style w:type="character" w:customStyle="1" w:styleId="21">
    <w:name w:val="Επικεφαλίδα #2_"/>
    <w:qFormat/>
    <w:rPr>
      <w:rFonts w:ascii="Arial" w:eastAsia="Arial" w:hAnsi="Arial" w:cs="Arial"/>
      <w:sz w:val="21"/>
      <w:szCs w:val="21"/>
      <w:shd w:val="clear" w:color="auto" w:fill="FFFFFF"/>
    </w:rPr>
  </w:style>
  <w:style w:type="character" w:customStyle="1" w:styleId="10">
    <w:name w:val="Ανεπίλυτη αναφορά1"/>
    <w:qFormat/>
    <w:rPr>
      <w:color w:val="605E5C"/>
      <w:shd w:val="clear" w:color="auto" w:fill="E1DFDD"/>
    </w:rPr>
  </w:style>
  <w:style w:type="character" w:customStyle="1" w:styleId="Char2">
    <w:name w:val="Κείμενο υποσημείωσης Char"/>
    <w:qFormat/>
    <w:rPr>
      <w:rFonts w:ascii="Calibri" w:hAnsi="Calibri" w:cs="Tahoma"/>
      <w:color w:val="000000"/>
    </w:rPr>
  </w:style>
  <w:style w:type="character" w:customStyle="1" w:styleId="a7">
    <w:name w:val="Αγκίστρωση υποσημείωσης"/>
    <w:rPr>
      <w:vertAlign w:val="superscript"/>
    </w:rPr>
  </w:style>
  <w:style w:type="character" w:customStyle="1" w:styleId="FootnoteCharacters">
    <w:name w:val="Footnote Characters"/>
    <w:qFormat/>
    <w:rPr>
      <w:vertAlign w:val="superscript"/>
    </w:rPr>
  </w:style>
  <w:style w:type="character" w:customStyle="1" w:styleId="2Char">
    <w:name w:val="Επικεφαλίδα 2 Char"/>
    <w:qFormat/>
    <w:rPr>
      <w:rFonts w:ascii="Calibri Light" w:eastAsia="Times New Roman" w:hAnsi="Calibri Light" w:cs="Times New Roman"/>
      <w:b/>
      <w:bCs/>
      <w:i/>
      <w:iCs/>
      <w:color w:val="000000"/>
      <w:sz w:val="28"/>
      <w:szCs w:val="28"/>
    </w:rPr>
  </w:style>
  <w:style w:type="character" w:customStyle="1" w:styleId="2Char0">
    <w:name w:val="Επικεφαλίδα Ν2 Char"/>
    <w:qFormat/>
    <w:rPr>
      <w:rFonts w:ascii="Arial" w:hAnsi="Arial"/>
      <w:b/>
      <w:i/>
      <w:iCs/>
      <w:color w:val="000000"/>
      <w:szCs w:val="22"/>
      <w:u w:val="single"/>
    </w:rPr>
  </w:style>
  <w:style w:type="character" w:styleId="a8">
    <w:name w:val="Unresolved Mention"/>
    <w:basedOn w:val="a0"/>
    <w:qFormat/>
    <w:rPr>
      <w:color w:val="605E5C"/>
      <w:shd w:val="clear" w:color="auto" w:fill="E1DFDD"/>
    </w:rPr>
  </w:style>
  <w:style w:type="character" w:customStyle="1" w:styleId="a9">
    <w:name w:val="Χαρακτήρες υποσημείωσης"/>
    <w:qFormat/>
  </w:style>
  <w:style w:type="paragraph" w:customStyle="1" w:styleId="aa">
    <w:name w:val="Επικεφαλίδα"/>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rPr>
      <w:rFonts w:ascii="Times New Roman" w:hAnsi="Times New Roman" w:cs="Times New Roman"/>
      <w:color w:val="auto"/>
      <w:szCs w:val="20"/>
    </w:r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Ευρετήριο"/>
    <w:basedOn w:val="a"/>
    <w:qFormat/>
    <w:pPr>
      <w:suppressLineNumbers/>
    </w:pPr>
    <w:rPr>
      <w:rFonts w:cs="Lucida Sans"/>
    </w:rPr>
  </w:style>
  <w:style w:type="paragraph" w:styleId="30">
    <w:name w:val="Body Text 3"/>
    <w:basedOn w:val="a"/>
    <w:qFormat/>
    <w:rPr>
      <w:rFonts w:ascii="Times New Roman" w:hAnsi="Times New Roman" w:cs="Times New Roman"/>
      <w:b/>
      <w:color w:val="auto"/>
      <w:szCs w:val="20"/>
      <w:u w:val="single"/>
    </w:rPr>
  </w:style>
  <w:style w:type="paragraph" w:styleId="af">
    <w:name w:val="Plain Text"/>
    <w:basedOn w:val="a"/>
    <w:qFormat/>
    <w:rPr>
      <w:rFonts w:ascii="Courier New" w:hAnsi="Courier New"/>
      <w:sz w:val="20"/>
      <w:szCs w:val="20"/>
    </w:rPr>
  </w:style>
  <w:style w:type="paragraph" w:styleId="af0">
    <w:name w:val="annotation text"/>
    <w:basedOn w:val="a"/>
    <w:qFormat/>
    <w:rPr>
      <w:rFonts w:ascii="Times New Roman" w:hAnsi="Times New Roman" w:cs="Times New Roman"/>
      <w:color w:val="auto"/>
      <w:sz w:val="20"/>
      <w:szCs w:val="20"/>
    </w:rPr>
  </w:style>
  <w:style w:type="paragraph" w:styleId="af1">
    <w:name w:val="annotation subject"/>
    <w:basedOn w:val="af0"/>
    <w:next w:val="af0"/>
    <w:qFormat/>
    <w:rPr>
      <w:b/>
      <w:bCs/>
    </w:rPr>
  </w:style>
  <w:style w:type="paragraph" w:styleId="af2">
    <w:name w:val="Balloon Text"/>
    <w:basedOn w:val="a"/>
    <w:qFormat/>
    <w:rPr>
      <w:rFonts w:ascii="Tahoma" w:hAnsi="Tahoma"/>
      <w:color w:val="auto"/>
      <w:sz w:val="16"/>
      <w:szCs w:val="16"/>
    </w:rPr>
  </w:style>
  <w:style w:type="paragraph" w:styleId="22">
    <w:name w:val="Body Text Indent 2"/>
    <w:basedOn w:val="a"/>
    <w:qFormat/>
    <w:pPr>
      <w:spacing w:after="120" w:line="480" w:lineRule="auto"/>
      <w:ind w:left="283"/>
    </w:pPr>
  </w:style>
  <w:style w:type="paragraph" w:customStyle="1" w:styleId="af3">
    <w:name w:val="Κεφαλίδα και υποσέλιδο"/>
    <w:basedOn w:val="a"/>
    <w:qFormat/>
  </w:style>
  <w:style w:type="paragraph" w:styleId="af4">
    <w:name w:val="footer"/>
    <w:basedOn w:val="a"/>
    <w:pPr>
      <w:tabs>
        <w:tab w:val="center" w:pos="4153"/>
        <w:tab w:val="right" w:pos="8306"/>
      </w:tabs>
    </w:pPr>
  </w:style>
  <w:style w:type="paragraph" w:styleId="af5">
    <w:name w:val="List Paragraph"/>
    <w:basedOn w:val="a"/>
    <w:qFormat/>
    <w:pPr>
      <w:ind w:left="720"/>
    </w:pPr>
  </w:style>
  <w:style w:type="paragraph" w:styleId="af6">
    <w:name w:val="header"/>
    <w:basedOn w:val="a"/>
    <w:pPr>
      <w:tabs>
        <w:tab w:val="center" w:pos="4153"/>
        <w:tab w:val="right" w:pos="8306"/>
      </w:tabs>
    </w:pPr>
  </w:style>
  <w:style w:type="paragraph" w:customStyle="1" w:styleId="310">
    <w:name w:val="Σώμα κειμένου (31)"/>
    <w:basedOn w:val="a"/>
    <w:qFormat/>
    <w:pPr>
      <w:shd w:val="clear" w:color="auto" w:fill="FFFFFF"/>
      <w:spacing w:line="281" w:lineRule="exact"/>
      <w:ind w:hanging="500"/>
    </w:pPr>
    <w:rPr>
      <w:rFonts w:ascii="Times New Roman" w:hAnsi="Times New Roman" w:cs="Times New Roman"/>
      <w:color w:val="auto"/>
      <w:sz w:val="22"/>
      <w:szCs w:val="22"/>
    </w:rPr>
  </w:style>
  <w:style w:type="paragraph" w:styleId="Web">
    <w:name w:val="Normal (Web)"/>
    <w:basedOn w:val="a"/>
    <w:qFormat/>
    <w:pPr>
      <w:spacing w:before="280" w:after="142" w:line="276" w:lineRule="auto"/>
    </w:pPr>
  </w:style>
  <w:style w:type="paragraph" w:customStyle="1" w:styleId="23">
    <w:name w:val="Σώμα κειμένου (2)"/>
    <w:basedOn w:val="a"/>
    <w:qFormat/>
    <w:pPr>
      <w:widowControl w:val="0"/>
      <w:shd w:val="clear" w:color="auto" w:fill="FFFFFF"/>
      <w:spacing w:before="480" w:after="720" w:line="0" w:lineRule="atLeast"/>
      <w:jc w:val="right"/>
    </w:pPr>
    <w:rPr>
      <w:rFonts w:ascii="Arial" w:eastAsia="Arial" w:hAnsi="Arial" w:cs="Times New Roman"/>
      <w:color w:val="auto"/>
      <w:sz w:val="21"/>
      <w:szCs w:val="21"/>
    </w:rPr>
  </w:style>
  <w:style w:type="paragraph" w:customStyle="1" w:styleId="32">
    <w:name w:val="Επικεφαλίδα #3"/>
    <w:basedOn w:val="a"/>
    <w:qFormat/>
    <w:pPr>
      <w:widowControl w:val="0"/>
      <w:shd w:val="clear" w:color="auto" w:fill="FFFFFF"/>
      <w:spacing w:before="480" w:line="241" w:lineRule="exact"/>
      <w:outlineLvl w:val="2"/>
    </w:pPr>
    <w:rPr>
      <w:rFonts w:ascii="Arial" w:eastAsia="Arial" w:hAnsi="Arial" w:cs="Times New Roman"/>
      <w:b/>
      <w:bCs/>
      <w:color w:val="auto"/>
      <w:sz w:val="19"/>
      <w:szCs w:val="19"/>
    </w:rPr>
  </w:style>
  <w:style w:type="paragraph" w:customStyle="1" w:styleId="60">
    <w:name w:val="Σώμα κειμένου (6)"/>
    <w:basedOn w:val="a"/>
    <w:qFormat/>
    <w:pPr>
      <w:widowControl w:val="0"/>
      <w:shd w:val="clear" w:color="auto" w:fill="FFFFFF"/>
      <w:spacing w:before="180" w:line="0" w:lineRule="atLeast"/>
    </w:pPr>
    <w:rPr>
      <w:rFonts w:ascii="Century Gothic" w:eastAsia="Century Gothic" w:hAnsi="Century Gothic" w:cs="Times New Roman"/>
      <w:b/>
      <w:bCs/>
      <w:color w:val="auto"/>
      <w:sz w:val="17"/>
      <w:szCs w:val="17"/>
    </w:rPr>
  </w:style>
  <w:style w:type="paragraph" w:customStyle="1" w:styleId="24">
    <w:name w:val="Επικεφαλίδα #2"/>
    <w:basedOn w:val="a"/>
    <w:qFormat/>
    <w:pPr>
      <w:widowControl w:val="0"/>
      <w:shd w:val="clear" w:color="auto" w:fill="FFFFFF"/>
      <w:spacing w:line="241" w:lineRule="exact"/>
      <w:outlineLvl w:val="1"/>
    </w:pPr>
    <w:rPr>
      <w:rFonts w:ascii="Arial" w:eastAsia="Arial" w:hAnsi="Arial" w:cs="Times New Roman"/>
      <w:color w:val="auto"/>
      <w:sz w:val="21"/>
      <w:szCs w:val="21"/>
    </w:rPr>
  </w:style>
  <w:style w:type="paragraph" w:styleId="af7">
    <w:name w:val="footnote text"/>
    <w:basedOn w:val="a"/>
    <w:rPr>
      <w:rFonts w:cs="Times New Roman"/>
      <w:sz w:val="20"/>
      <w:szCs w:val="20"/>
    </w:rPr>
  </w:style>
  <w:style w:type="paragraph" w:customStyle="1" w:styleId="25">
    <w:name w:val="Επικεφαλίδα Ν2"/>
    <w:basedOn w:val="1"/>
    <w:qFormat/>
    <w:pPr>
      <w:numPr>
        <w:numId w:val="0"/>
      </w:numPr>
      <w:spacing w:before="240" w:after="240"/>
      <w:outlineLvl w:val="9"/>
    </w:pPr>
  </w:style>
  <w:style w:type="paragraph" w:styleId="af8">
    <w:name w:val="Revision"/>
    <w:qFormat/>
    <w:rPr>
      <w:rFonts w:ascii="Calibri" w:hAnsi="Calibri" w:cs="Tahoma"/>
      <w:color w:val="000000"/>
      <w:sz w:val="24"/>
      <w:szCs w:val="24"/>
    </w:rPr>
  </w:style>
  <w:style w:type="paragraph" w:customStyle="1" w:styleId="TableParagraph">
    <w:name w:val="Table Paragraph"/>
    <w:basedOn w:val="a"/>
    <w:qFormat/>
    <w:pPr>
      <w:widowControl w:val="0"/>
      <w:spacing w:after="0"/>
      <w:jc w:val="left"/>
    </w:pPr>
    <w:rPr>
      <w:rFonts w:eastAsia="Calibri" w:cs="Calibri"/>
      <w:color w:val="auto"/>
      <w:sz w:val="22"/>
      <w:szCs w:val="22"/>
      <w:lang w:eastAsia="en-US"/>
    </w:rPr>
  </w:style>
  <w:style w:type="paragraph" w:customStyle="1" w:styleId="af9">
    <w:name w:val="Περιεχόμενα πλαισίου"/>
    <w:basedOn w:val="a"/>
    <w:qFormat/>
  </w:style>
  <w:style w:type="paragraph" w:customStyle="1" w:styleId="afa">
    <w:name w:val="Περιεχόμενα πίνακα"/>
    <w:basedOn w:val="a"/>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5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inadis@thessaloniki.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1735</Words>
  <Characters>9374</Characters>
  <Application>Microsoft Office Word</Application>
  <DocSecurity>0</DocSecurity>
  <Lines>78</Lines>
  <Paragraphs>22</Paragraphs>
  <ScaleCrop>false</ScaleCrop>
  <Company>HP</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 Σταμπουλής</dc:creator>
  <dc:description/>
  <cp:lastModifiedBy>user0252 user0252</cp:lastModifiedBy>
  <cp:revision>3</cp:revision>
  <cp:lastPrinted>2022-10-03T05:47:00Z</cp:lastPrinted>
  <dcterms:created xsi:type="dcterms:W3CDTF">2022-11-08T06:18:00Z</dcterms:created>
  <dcterms:modified xsi:type="dcterms:W3CDTF">2022-11-08T06:22:00Z</dcterms:modified>
  <dc:language>el-GR</dc:language>
</cp:coreProperties>
</file>