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510" w:leader="none"/>
          <w:tab w:val="left" w:pos="4477" w:leader="none"/>
          <w:tab w:val="left" w:pos="8520" w:leader="none"/>
        </w:tabs>
        <w:jc w:val="center"/>
        <w:rPr>
          <w:rFonts w:ascii="Times New Roman" w:hAnsi="Times New Roman" w:cs="Arial"/>
          <w:b/>
          <w:b/>
          <w:bCs/>
          <w:sz w:val="28"/>
          <w:szCs w:val="28"/>
        </w:rPr>
      </w:pPr>
      <w:r>
        <w:rPr>
          <w:rFonts w:cs="Arial" w:ascii="Times New Roman" w:hAnsi="Times New Roman"/>
          <w:b/>
          <w:bCs/>
          <w:sz w:val="28"/>
          <w:szCs w:val="28"/>
        </w:rPr>
        <w:t xml:space="preserve">Ψήφισμα της 24/04/2017 Συνεδρίασης του Δημοτικού Συμβουλίου του Δήμου Θεσσαλονίκης για την επέτειο μνήμης της Αρμενικής Γενοκτονίας </w:t>
      </w:r>
    </w:p>
    <w:p>
      <w:pPr>
        <w:pStyle w:val="Normal"/>
        <w:tabs>
          <w:tab w:val="left" w:pos="3510" w:leader="none"/>
          <w:tab w:val="left" w:pos="4477" w:leader="none"/>
          <w:tab w:val="left" w:pos="8520" w:leader="none"/>
        </w:tabs>
        <w:jc w:val="both"/>
        <w:rPr>
          <w:rFonts w:ascii="Arial" w:hAnsi="Arial" w:cs="Arial"/>
          <w:b/>
          <w:b/>
          <w:bCs/>
          <w:sz w:val="22"/>
          <w:szCs w:val="22"/>
        </w:rPr>
      </w:pPr>
      <w:r>
        <w:rPr>
          <w:rFonts w:cs="Arial" w:ascii="Arial" w:hAnsi="Arial"/>
          <w:b/>
          <w:bCs/>
          <w:sz w:val="22"/>
          <w:szCs w:val="22"/>
        </w:rPr>
      </w:r>
    </w:p>
    <w:p>
      <w:pPr>
        <w:pStyle w:val="Normal"/>
        <w:tabs>
          <w:tab w:val="left" w:pos="3510" w:leader="none"/>
          <w:tab w:val="left" w:pos="4477" w:leader="none"/>
          <w:tab w:val="left" w:pos="8520" w:leader="none"/>
        </w:tabs>
        <w:jc w:val="both"/>
        <w:rPr>
          <w:rFonts w:ascii="Arial" w:hAnsi="Arial" w:cs="Arial"/>
          <w:b/>
          <w:b/>
          <w:bCs/>
          <w:sz w:val="22"/>
          <w:szCs w:val="22"/>
        </w:rPr>
      </w:pPr>
      <w:r>
        <w:rPr>
          <w:rFonts w:cs="Arial" w:ascii="Arial" w:hAnsi="Arial"/>
          <w:b/>
          <w:bCs/>
          <w:sz w:val="22"/>
          <w:szCs w:val="22"/>
        </w:rPr>
      </w:r>
    </w:p>
    <w:p>
      <w:pPr>
        <w:pStyle w:val="Normal"/>
        <w:tabs>
          <w:tab w:val="left" w:pos="3510" w:leader="none"/>
          <w:tab w:val="left" w:pos="4477" w:leader="none"/>
          <w:tab w:val="left" w:pos="8520" w:leader="none"/>
        </w:tabs>
        <w:jc w:val="both"/>
        <w:rPr>
          <w:rFonts w:ascii="Arial" w:hAnsi="Arial" w:cs="Arial"/>
          <w:b/>
          <w:b/>
          <w:bCs/>
          <w:sz w:val="22"/>
          <w:szCs w:val="22"/>
        </w:rPr>
      </w:pPr>
      <w:r>
        <w:rPr>
          <w:rFonts w:cs="Arial" w:ascii="Arial" w:hAnsi="Arial"/>
          <w:b/>
          <w:bCs/>
          <w:sz w:val="22"/>
          <w:szCs w:val="22"/>
        </w:rPr>
        <w:t>Το ψήφισμα έχει ως ακολούθως</w:t>
      </w:r>
    </w:p>
    <w:p>
      <w:pPr>
        <w:pStyle w:val="Normal"/>
        <w:tabs>
          <w:tab w:val="left" w:pos="3510" w:leader="none"/>
          <w:tab w:val="left" w:pos="4477" w:leader="none"/>
          <w:tab w:val="left" w:pos="8520" w:leader="none"/>
        </w:tabs>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val="false"/>
          <w:bCs w:val="false"/>
          <w:i w:val="false"/>
          <w:iCs w:val="false"/>
          <w:sz w:val="22"/>
          <w:szCs w:val="22"/>
          <w:lang w:val="el-GR"/>
        </w:rPr>
        <w:t>Το Δημοτικό Συμβούλιο του Δήμου Θεσσαλονίκης τιμάει την επέτειο μνήμης της Αρμενικής Γενοκτονίας και εκφράζει τη στήριξή του στις εκδηλώσεις της Αρμένικης Κοινότητας και νεολαίας της πόλης. Η αναγνώριση και η καταδίκη των εγκλημάτων που διέπραξαν οι νεότουρκοι εναντίον των ιστορικών λαών της Μικράς Ασίας ελλήνων, αρμενίων και ασσυρίων είναι μία επιτακτική αναγκαιότητα.</w:t>
      </w:r>
    </w:p>
    <w:p>
      <w:pPr>
        <w:pStyle w:val="Normal"/>
        <w:jc w:val="both"/>
        <w:rPr>
          <w:rFonts w:ascii="Arial" w:hAnsi="Arial" w:cs="Arial"/>
          <w:b w:val="false"/>
          <w:b w:val="false"/>
          <w:bCs w:val="false"/>
          <w:i w:val="false"/>
          <w:i w:val="false"/>
          <w:iCs w:val="false"/>
          <w:sz w:val="22"/>
          <w:szCs w:val="22"/>
          <w:lang w:val="el-GR"/>
        </w:rPr>
      </w:pPr>
      <w:r>
        <w:rPr/>
      </w:r>
    </w:p>
    <w:p>
      <w:pPr>
        <w:pStyle w:val="Normal"/>
        <w:jc w:val="both"/>
        <w:rPr>
          <w:rFonts w:ascii="Arial" w:hAnsi="Arial" w:cs="Arial"/>
          <w:b w:val="false"/>
          <w:b w:val="false"/>
          <w:bCs w:val="false"/>
          <w:i w:val="false"/>
          <w:i w:val="false"/>
          <w:iCs w:val="false"/>
          <w:sz w:val="22"/>
          <w:szCs w:val="22"/>
          <w:lang w:val="el-GR"/>
        </w:rPr>
      </w:pPr>
      <w:r>
        <w:rPr/>
      </w:r>
    </w:p>
    <w:p>
      <w:pPr>
        <w:pStyle w:val="Normal"/>
        <w:jc w:val="center"/>
        <w:rPr>
          <w:rFonts w:ascii="Arial" w:hAnsi="Arial" w:cs="Arial"/>
          <w:b w:val="false"/>
          <w:b w:val="false"/>
          <w:bCs w:val="false"/>
          <w:i w:val="false"/>
          <w:i w:val="false"/>
          <w:iCs w:val="false"/>
          <w:sz w:val="22"/>
          <w:szCs w:val="22"/>
          <w:lang w:val="el-GR"/>
        </w:rPr>
      </w:pPr>
      <w:r>
        <w:rPr/>
      </w:r>
    </w:p>
    <w:p>
      <w:pPr>
        <w:pStyle w:val="Normal"/>
        <w:jc w:val="center"/>
        <w:rPr>
          <w:rFonts w:ascii="Arial" w:hAnsi="Arial" w:cs="Arial"/>
          <w:b w:val="false"/>
          <w:b w:val="false"/>
          <w:bCs w:val="false"/>
          <w:i w:val="false"/>
          <w:i w:val="false"/>
          <w:iCs w:val="false"/>
          <w:sz w:val="22"/>
          <w:szCs w:val="22"/>
          <w:lang w:val="el-GR"/>
        </w:rPr>
      </w:pPr>
      <w:r>
        <w:rPr/>
      </w:r>
    </w:p>
    <w:p>
      <w:pPr>
        <w:pStyle w:val="Normal"/>
        <w:jc w:val="center"/>
        <w:rPr>
          <w:rFonts w:ascii="Times New Roman" w:hAnsi="Times New Roman"/>
          <w:sz w:val="28"/>
          <w:szCs w:val="28"/>
        </w:rPr>
      </w:pPr>
      <w:bookmarkStart w:id="0" w:name="__DdeLink__937_548858854"/>
      <w:r>
        <w:rPr>
          <w:rFonts w:ascii="Times New Roman" w:hAnsi="Times New Roman"/>
          <w:b/>
          <w:sz w:val="28"/>
          <w:szCs w:val="28"/>
          <w:lang w:val="en-US"/>
        </w:rPr>
        <w:t xml:space="preserve">Resolution of Thessaloniki City Council dated 24/04/2017 for the </w:t>
      </w:r>
    </w:p>
    <w:p>
      <w:pPr>
        <w:pStyle w:val="Normal"/>
        <w:jc w:val="center"/>
        <w:rPr>
          <w:rFonts w:ascii="Times New Roman" w:hAnsi="Times New Roman"/>
          <w:b/>
          <w:b/>
          <w:sz w:val="28"/>
          <w:szCs w:val="28"/>
          <w:lang w:val="en-US"/>
        </w:rPr>
      </w:pPr>
      <w:bookmarkStart w:id="1" w:name="__DdeLink__937_548858854"/>
      <w:bookmarkEnd w:id="1"/>
      <w:r>
        <w:rPr>
          <w:rFonts w:ascii="Times New Roman" w:hAnsi="Times New Roman"/>
          <w:b/>
          <w:sz w:val="28"/>
          <w:szCs w:val="28"/>
          <w:lang w:val="en-US"/>
        </w:rPr>
        <w:t>Commemoration of the Armenian Genocide</w:t>
      </w:r>
    </w:p>
    <w:p>
      <w:pPr>
        <w:pStyle w:val="Normal"/>
        <w:jc w:val="both"/>
        <w:rPr>
          <w:b/>
          <w:b/>
          <w:lang w:val="en-US"/>
        </w:rPr>
      </w:pPr>
      <w:r>
        <w:rPr>
          <w:b/>
          <w:lang w:val="en-US"/>
        </w:rPr>
      </w:r>
    </w:p>
    <w:p>
      <w:pPr>
        <w:pStyle w:val="Normal"/>
        <w:jc w:val="both"/>
        <w:rPr>
          <w:lang w:val="en-US"/>
        </w:rPr>
      </w:pPr>
      <w:r>
        <w:rPr>
          <w:rFonts w:cs="Arial" w:ascii="Arial" w:hAnsi="Arial"/>
          <w:b w:val="false"/>
          <w:bCs w:val="false"/>
          <w:i w:val="false"/>
          <w:iCs w:val="false"/>
          <w:sz w:val="22"/>
          <w:szCs w:val="22"/>
          <w:lang w:val="el-GR"/>
        </w:rPr>
        <w:t>The City Council of the Municipality of Thessaloniki honors the Commemoration of the Armenian Genocide and expresses its support to the commemoration events held by the Armenian Community and youth of the city. The acknowledgement as well as the condemnation of the crimes the Young Turks committed against historic nations of the Minor Asia, such as Greeks, Armenians and Assyrians, are imperative.</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roman"/>
    <w:pitch w:val="variable"/>
  </w:font>
  <w:font w:name="Times New Roman">
    <w:charset w:val="a1"/>
    <w:family w:val="roman"/>
    <w:pitch w:val="variable"/>
  </w:font>
  <w:font w:name="Arial">
    <w:charset w:val="a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Mangal"/>
        <w:szCs w:val="24"/>
        <w:lang w:val="el-GR" w:eastAsia="zh-CN" w:bidi="hi-IN"/>
      </w:rPr>
    </w:rPrDefault>
    <w:pPrDefault>
      <w:pPr/>
    </w:pPrDefault>
  </w:docDefaults>
  <w:style w:type="paragraph" w:styleId="Normal">
    <w:name w:val="Normal"/>
    <w:qFormat/>
    <w:pPr>
      <w:widowControl w:val="false"/>
      <w:overflowPunct w:val="false"/>
      <w:bidi w:val="0"/>
      <w:jc w:val="left"/>
    </w:pPr>
    <w:rPr>
      <w:rFonts w:ascii="Liberation Serif" w:hAnsi="Liberation Serif" w:eastAsia="Arial Unicode MS" w:cs="Mangal"/>
      <w:color w:val="00000A"/>
      <w:sz w:val="24"/>
      <w:szCs w:val="24"/>
      <w:lang w:val="el-GR" w:eastAsia="zh-CN" w:bidi="hi-IN"/>
    </w:rPr>
  </w:style>
  <w:style w:type="paragraph" w:styleId="1">
    <w:name w:val="Επικεφαλίδα 1"/>
    <w:basedOn w:val="Style11"/>
    <w:pPr>
      <w:spacing w:before="240" w:after="120"/>
      <w:outlineLvl w:val="0"/>
    </w:pPr>
    <w:rPr>
      <w:b/>
      <w:bCs/>
      <w:sz w:val="36"/>
      <w:szCs w:val="36"/>
    </w:rPr>
  </w:style>
  <w:style w:type="paragraph" w:styleId="2">
    <w:name w:val="Επικεφαλίδα 2"/>
    <w:basedOn w:val="Style11"/>
    <w:pPr>
      <w:spacing w:before="200" w:after="120"/>
      <w:outlineLvl w:val="1"/>
    </w:pPr>
    <w:rPr>
      <w:b/>
      <w:bCs/>
      <w:sz w:val="32"/>
      <w:szCs w:val="32"/>
    </w:rPr>
  </w:style>
  <w:style w:type="paragraph" w:styleId="3">
    <w:name w:val="Επικεφαλίδα 3"/>
    <w:basedOn w:val="Style11"/>
    <w:pPr>
      <w:spacing w:before="140" w:after="120"/>
      <w:outlineLvl w:val="2"/>
    </w:pPr>
    <w:rPr>
      <w:b/>
      <w:bCs/>
      <w:sz w:val="28"/>
      <w:szCs w:val="28"/>
    </w:rPr>
  </w:style>
  <w:style w:type="paragraph" w:styleId="Style11">
    <w:name w:val="Επικεφαλίδα"/>
    <w:basedOn w:val="Normal"/>
    <w:next w:val="Style12"/>
    <w:qFormat/>
    <w:pPr>
      <w:keepNext/>
      <w:spacing w:before="240" w:after="120"/>
    </w:pPr>
    <w:rPr>
      <w:rFonts w:ascii="Liberation Sans" w:hAnsi="Liberation Sans" w:eastAsia="Arial Unicode MS" w:cs="Mangal"/>
      <w:sz w:val="28"/>
      <w:szCs w:val="28"/>
    </w:rPr>
  </w:style>
  <w:style w:type="paragraph" w:styleId="Style12">
    <w:name w:val="Σώμα κειμένου"/>
    <w:basedOn w:val="Normal"/>
    <w:pPr>
      <w:spacing w:lineRule="auto" w:line="288" w:before="0" w:after="140"/>
    </w:pPr>
    <w:rPr/>
  </w:style>
  <w:style w:type="paragraph" w:styleId="Style13">
    <w:name w:val="Λίστα"/>
    <w:basedOn w:val="Style12"/>
    <w:pPr/>
    <w:rPr>
      <w:rFonts w:cs="Mangal"/>
    </w:rPr>
  </w:style>
  <w:style w:type="paragraph" w:styleId="Style14">
    <w:name w:val="Υπόμνημα"/>
    <w:basedOn w:val="Normal"/>
    <w:pPr>
      <w:suppressLineNumbers/>
      <w:spacing w:before="120" w:after="120"/>
    </w:pPr>
    <w:rPr>
      <w:rFonts w:cs="Mangal"/>
      <w:i/>
      <w:iCs/>
      <w:sz w:val="24"/>
      <w:szCs w:val="24"/>
    </w:rPr>
  </w:style>
  <w:style w:type="paragraph" w:styleId="Style15">
    <w:name w:val="Ευρετήριο"/>
    <w:basedOn w:val="Normal"/>
    <w:qFormat/>
    <w:pPr>
      <w:suppressLineNumbers/>
    </w:pPr>
    <w:rPr>
      <w:rFonts w:cs="Mangal"/>
    </w:rPr>
  </w:style>
  <w:style w:type="paragraph" w:styleId="Style16">
    <w:name w:val="Παραθέσεις"/>
    <w:basedOn w:val="Normal"/>
    <w:qFormat/>
    <w:pPr>
      <w:spacing w:before="0" w:after="283"/>
      <w:ind w:left="567" w:right="567" w:hanging="0"/>
    </w:pPr>
    <w:rPr/>
  </w:style>
  <w:style w:type="paragraph" w:styleId="Style17">
    <w:name w:val="Τίτλος"/>
    <w:basedOn w:val="Style11"/>
    <w:pPr>
      <w:jc w:val="center"/>
    </w:pPr>
    <w:rPr>
      <w:b/>
      <w:bCs/>
      <w:sz w:val="56"/>
      <w:szCs w:val="56"/>
    </w:rPr>
  </w:style>
  <w:style w:type="paragraph" w:styleId="Style18">
    <w:name w:val="Υπότιτλος"/>
    <w:basedOn w:val="Style11"/>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TotalTime>
  <Application>LibreOffice/5.0.1.2$Windows_x86 LibreOffice_project/81898c9f5c0d43f3473ba111d7b351050be20261</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2017-05-12T11:47:52Z</dcterms:created>
  <dc:language>el-GR</dc:language>
  <cp:lastPrinted>2017-05-12T11:52:08Z</cp:lastPrinted>
  <dcterms:modified xsi:type="dcterms:W3CDTF">2017-05-16T14:09:49Z</dcterms:modified>
  <cp:revision>2</cp:revision>
</cp:coreProperties>
</file>